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F6D" w:rsidRDefault="00415F6D" w:rsidP="00226980">
      <w:pPr>
        <w:ind w:firstLine="720"/>
        <w:jc w:val="both"/>
        <w:rPr>
          <w:rFonts w:ascii="Times New Roman" w:hAnsi="Times New Roman" w:cs="Times New Roman"/>
          <w:szCs w:val="24"/>
        </w:rPr>
      </w:pPr>
    </w:p>
    <w:tbl>
      <w:tblPr>
        <w:tblpPr w:leftFromText="180" w:rightFromText="180" w:vertAnchor="text" w:horzAnchor="margin" w:tblpY="51"/>
        <w:tblW w:w="5328" w:type="dxa"/>
        <w:tblLook w:val="04A0"/>
      </w:tblPr>
      <w:tblGrid>
        <w:gridCol w:w="5328"/>
      </w:tblGrid>
      <w:tr w:rsidR="00415F6D" w:rsidTr="00415F6D">
        <w:tc>
          <w:tcPr>
            <w:tcW w:w="5328" w:type="dxa"/>
            <w:hideMark/>
          </w:tcPr>
          <w:p w:rsidR="00415F6D" w:rsidRDefault="00415F6D" w:rsidP="00415F6D">
            <w:pPr>
              <w:spacing w:line="288" w:lineRule="auto"/>
              <w:rPr>
                <w:rFonts w:ascii="Times New Roman" w:hAnsi="Times New Roman"/>
                <w:b/>
                <w:lang w:val="sr-Cyrl-CS"/>
              </w:rPr>
            </w:pPr>
            <w:r>
              <w:rPr>
                <w:rFonts w:ascii="Times New Roman" w:hAnsi="Times New Roman"/>
                <w:b/>
                <w:lang w:val="sr-Cyrl-CS"/>
              </w:rPr>
              <w:t>РЕПУБЛИКА СРБИЈА –ОПШТИНА РАЧА</w:t>
            </w:r>
          </w:p>
        </w:tc>
      </w:tr>
      <w:tr w:rsidR="00415F6D" w:rsidTr="00415F6D">
        <w:tc>
          <w:tcPr>
            <w:tcW w:w="5328" w:type="dxa"/>
            <w:hideMark/>
          </w:tcPr>
          <w:p w:rsidR="00415F6D" w:rsidRDefault="00415F6D" w:rsidP="00415F6D">
            <w:pPr>
              <w:spacing w:line="288" w:lineRule="auto"/>
              <w:rPr>
                <w:rFonts w:ascii="Times New Roman" w:hAnsi="Times New Roman"/>
                <w:b/>
                <w:lang w:val="sr-Cyrl-CS"/>
              </w:rPr>
            </w:pPr>
            <w:r>
              <w:rPr>
                <w:rFonts w:ascii="Times New Roman" w:hAnsi="Times New Roman"/>
                <w:b/>
                <w:lang w:val="sr-Cyrl-CS"/>
              </w:rPr>
              <w:t>ОПШТИНСКО ВЕЋЕ ОПШТИНЕ РАЧА</w:t>
            </w:r>
          </w:p>
        </w:tc>
      </w:tr>
    </w:tbl>
    <w:p w:rsidR="00415F6D" w:rsidRDefault="00415F6D" w:rsidP="00226980">
      <w:pPr>
        <w:ind w:firstLine="720"/>
        <w:jc w:val="both"/>
        <w:rPr>
          <w:rFonts w:ascii="Times New Roman" w:hAnsi="Times New Roman" w:cs="Times New Roman"/>
          <w:szCs w:val="24"/>
        </w:rPr>
      </w:pPr>
    </w:p>
    <w:p w:rsidR="00415F6D" w:rsidRDefault="00415F6D" w:rsidP="00226980">
      <w:pPr>
        <w:ind w:firstLine="720"/>
        <w:jc w:val="both"/>
        <w:rPr>
          <w:rFonts w:ascii="Times New Roman" w:hAnsi="Times New Roman" w:cs="Times New Roman"/>
          <w:szCs w:val="24"/>
        </w:rPr>
      </w:pPr>
    </w:p>
    <w:p w:rsidR="00415F6D" w:rsidRDefault="00415F6D" w:rsidP="00415F6D">
      <w:pPr>
        <w:jc w:val="both"/>
      </w:pPr>
    </w:p>
    <w:p w:rsidR="00415F6D" w:rsidRDefault="00415F6D" w:rsidP="00415F6D">
      <w:pPr>
        <w:jc w:val="both"/>
        <w:rPr>
          <w:rFonts w:ascii="Times New Roman" w:hAnsi="Times New Roman"/>
          <w:b/>
        </w:rPr>
      </w:pPr>
      <w:r>
        <w:rPr>
          <w:rFonts w:ascii="Times New Roman" w:hAnsi="Times New Roman"/>
          <w:b/>
          <w:lang w:val="sr-Cyrl-CS"/>
        </w:rPr>
        <w:t xml:space="preserve">Број: </w:t>
      </w:r>
      <w:r w:rsidR="00615578">
        <w:rPr>
          <w:rFonts w:ascii="Times New Roman" w:hAnsi="Times New Roman"/>
          <w:b/>
        </w:rPr>
        <w:t>352-84</w:t>
      </w:r>
      <w:r>
        <w:rPr>
          <w:rFonts w:ascii="Times New Roman" w:hAnsi="Times New Roman"/>
          <w:b/>
          <w:lang w:val="sr-Cyrl-CS"/>
        </w:rPr>
        <w:t>/20</w:t>
      </w:r>
      <w:r>
        <w:rPr>
          <w:rFonts w:ascii="Times New Roman" w:hAnsi="Times New Roman"/>
          <w:b/>
        </w:rPr>
        <w:t>24</w:t>
      </w:r>
      <w:r>
        <w:rPr>
          <w:rFonts w:ascii="Times New Roman" w:hAnsi="Times New Roman"/>
          <w:b/>
          <w:lang w:val="sr-Cyrl-CS"/>
        </w:rPr>
        <w:t>-</w:t>
      </w:r>
      <w:r>
        <w:rPr>
          <w:rFonts w:ascii="Times New Roman" w:hAnsi="Times New Roman"/>
          <w:b/>
        </w:rPr>
        <w:t>II-01</w:t>
      </w:r>
    </w:p>
    <w:p w:rsidR="00415F6D" w:rsidRDefault="00415F6D" w:rsidP="00415F6D">
      <w:pPr>
        <w:jc w:val="both"/>
        <w:rPr>
          <w:rFonts w:ascii="Times New Roman" w:hAnsi="Times New Roman"/>
          <w:b/>
        </w:rPr>
      </w:pPr>
      <w:r>
        <w:rPr>
          <w:rFonts w:ascii="Times New Roman" w:hAnsi="Times New Roman"/>
          <w:b/>
          <w:lang w:val="sr-Cyrl-CS"/>
        </w:rPr>
        <w:t>Датум:</w:t>
      </w:r>
      <w:r w:rsidR="00A40C95">
        <w:rPr>
          <w:rFonts w:ascii="Times New Roman" w:hAnsi="Times New Roman"/>
          <w:b/>
        </w:rPr>
        <w:t>04</w:t>
      </w:r>
      <w:r w:rsidR="00615578">
        <w:rPr>
          <w:rFonts w:ascii="Times New Roman" w:hAnsi="Times New Roman"/>
          <w:b/>
        </w:rPr>
        <w:t>.11</w:t>
      </w:r>
      <w:r>
        <w:rPr>
          <w:rFonts w:ascii="Times New Roman" w:hAnsi="Times New Roman"/>
          <w:b/>
          <w:lang w:val="sr-Cyrl-CS"/>
        </w:rPr>
        <w:t>.20</w:t>
      </w:r>
      <w:r>
        <w:rPr>
          <w:rFonts w:ascii="Times New Roman" w:hAnsi="Times New Roman"/>
          <w:b/>
        </w:rPr>
        <w:t>24</w:t>
      </w:r>
      <w:r>
        <w:rPr>
          <w:rFonts w:ascii="Times New Roman" w:hAnsi="Times New Roman"/>
          <w:b/>
          <w:lang w:val="sr-Cyrl-CS"/>
        </w:rPr>
        <w:t>. године</w:t>
      </w:r>
      <w:r>
        <w:rPr>
          <w:rFonts w:ascii="Times New Roman" w:hAnsi="Times New Roman"/>
          <w:b/>
        </w:rPr>
        <w:t>.</w:t>
      </w:r>
    </w:p>
    <w:p w:rsidR="00415F6D" w:rsidRDefault="00415F6D" w:rsidP="00415F6D">
      <w:pPr>
        <w:spacing w:after="120"/>
        <w:jc w:val="both"/>
        <w:rPr>
          <w:rFonts w:ascii="Times New Roman" w:hAnsi="Times New Roman"/>
        </w:rPr>
      </w:pPr>
    </w:p>
    <w:p w:rsidR="00226980" w:rsidRPr="00194BC0" w:rsidRDefault="00415F6D" w:rsidP="00415F6D">
      <w:pPr>
        <w:ind w:firstLine="720"/>
        <w:jc w:val="both"/>
        <w:rPr>
          <w:rFonts w:ascii="Times New Roman" w:hAnsi="Times New Roman" w:cs="Times New Roman"/>
          <w:color w:val="000000" w:themeColor="text1"/>
          <w:szCs w:val="24"/>
        </w:rPr>
      </w:pPr>
      <w:r>
        <w:rPr>
          <w:rFonts w:ascii="Times New Roman" w:hAnsi="Times New Roman"/>
        </w:rPr>
        <w:t xml:space="preserve">На основу члана 46. става 1. тачке 1) Закона о локалној самоуправи </w:t>
      </w:r>
      <w:r>
        <w:rPr>
          <w:rFonts w:ascii="Times New Roman" w:eastAsia="Times New Roman" w:hAnsi="Times New Roman"/>
        </w:rPr>
        <w:t>(“Сл. гласник РС”, број 129/2007, 83/2014-др. закон, 101/2016 др. закон,  47/2018 и 111/2021 – др.закон)</w:t>
      </w:r>
      <w:r>
        <w:rPr>
          <w:rFonts w:ascii="Times New Roman" w:hAnsi="Times New Roman"/>
        </w:rPr>
        <w:t xml:space="preserve">, </w:t>
      </w:r>
      <w:r>
        <w:rPr>
          <w:rFonts w:ascii="Times New Roman" w:hAnsi="Times New Roman"/>
          <w:lang w:val="sr-Cyrl-CS"/>
        </w:rPr>
        <w:t xml:space="preserve">члана </w:t>
      </w:r>
      <w:r>
        <w:rPr>
          <w:rFonts w:ascii="Times New Roman" w:hAnsi="Times New Roman"/>
        </w:rPr>
        <w:t>71.</w:t>
      </w:r>
      <w:r>
        <w:rPr>
          <w:rFonts w:ascii="Times New Roman" w:hAnsi="Times New Roman"/>
          <w:lang w:val="sr-Cyrl-CS"/>
        </w:rPr>
        <w:t xml:space="preserve"> става 1. тачке 1) Статута општине Рача ("Сл. гласник општине Рача", број </w:t>
      </w:r>
      <w:r>
        <w:rPr>
          <w:rFonts w:ascii="Times New Roman" w:hAnsi="Times New Roman"/>
        </w:rPr>
        <w:t>3</w:t>
      </w:r>
      <w:r>
        <w:rPr>
          <w:rFonts w:ascii="Times New Roman" w:hAnsi="Times New Roman"/>
          <w:lang w:val="sr-Cyrl-CS"/>
        </w:rPr>
        <w:t>/20</w:t>
      </w:r>
      <w:r>
        <w:rPr>
          <w:rFonts w:ascii="Times New Roman" w:hAnsi="Times New Roman"/>
        </w:rPr>
        <w:t>19) и члана 2. става 1. тачке 1)  Пословника о раду Општинског већа ("Сл. гласник општине Рача", број 22/20, 8/22 и 9/24)</w:t>
      </w:r>
      <w:r>
        <w:rPr>
          <w:rFonts w:ascii="Times New Roman" w:eastAsia="Times New Roman" w:hAnsi="Times New Roman"/>
        </w:rPr>
        <w:t xml:space="preserve">, а у вези са чланом </w:t>
      </w:r>
      <w:r w:rsidR="00226980" w:rsidRPr="00194BC0">
        <w:rPr>
          <w:rFonts w:ascii="Times New Roman" w:hAnsi="Times New Roman" w:cs="Times New Roman"/>
          <w:color w:val="000000" w:themeColor="text1"/>
          <w:szCs w:val="24"/>
        </w:rPr>
        <w:t>97. став</w:t>
      </w:r>
      <w:r>
        <w:rPr>
          <w:rFonts w:ascii="Times New Roman" w:hAnsi="Times New Roman" w:cs="Times New Roman"/>
          <w:color w:val="000000" w:themeColor="text1"/>
          <w:szCs w:val="24"/>
        </w:rPr>
        <w:t>ом</w:t>
      </w:r>
      <w:r w:rsidR="00226980" w:rsidRPr="00194BC0">
        <w:rPr>
          <w:rFonts w:ascii="Times New Roman" w:hAnsi="Times New Roman" w:cs="Times New Roman"/>
          <w:color w:val="000000" w:themeColor="text1"/>
          <w:szCs w:val="24"/>
        </w:rPr>
        <w:t xml:space="preserve"> 7. Закона о планирању и изградњи</w:t>
      </w:r>
      <w:r w:rsidR="00226980" w:rsidRPr="00194BC0">
        <w:rPr>
          <w:rFonts w:ascii="Times New Roman" w:hAnsi="Times New Roman" w:cs="Times New Roman"/>
          <w:color w:val="000000" w:themeColor="text1"/>
          <w:szCs w:val="24"/>
          <w:lang w:val="ru-RU"/>
        </w:rPr>
        <w:t xml:space="preserve"> изградњи (''Службени гласник Републике Србије'', број: 72/2009, 81/2009 – исправка, 64/2010 – одлука УС, 24/2011, 121/2012, 42/13 – одлука УС, 50/2013 – одлука УС, 98/2013 – одлука УС, 132/2014, 145/2014, 83/2018, 31/2019, 37/2019</w:t>
      </w:r>
      <w:r w:rsidR="008750F5" w:rsidRPr="00194BC0">
        <w:rPr>
          <w:rFonts w:ascii="Times New Roman" w:hAnsi="Times New Roman" w:cs="Times New Roman"/>
          <w:color w:val="000000" w:themeColor="text1"/>
          <w:szCs w:val="24"/>
        </w:rPr>
        <w:t>, 9/2020,</w:t>
      </w:r>
      <w:r w:rsidR="00226980" w:rsidRPr="00194BC0">
        <w:rPr>
          <w:rFonts w:ascii="Times New Roman" w:hAnsi="Times New Roman" w:cs="Times New Roman"/>
          <w:color w:val="000000" w:themeColor="text1"/>
          <w:szCs w:val="24"/>
        </w:rPr>
        <w:t xml:space="preserve"> 52/2021</w:t>
      </w:r>
      <w:r w:rsidR="008750F5" w:rsidRPr="00194BC0">
        <w:rPr>
          <w:rFonts w:ascii="Times New Roman" w:hAnsi="Times New Roman" w:cs="Times New Roman"/>
          <w:color w:val="000000" w:themeColor="text1"/>
          <w:szCs w:val="24"/>
        </w:rPr>
        <w:t xml:space="preserve"> и 62/2023</w:t>
      </w:r>
      <w:r w:rsidR="00226980" w:rsidRPr="00194BC0">
        <w:rPr>
          <w:rFonts w:ascii="Times New Roman" w:hAnsi="Times New Roman" w:cs="Times New Roman"/>
          <w:color w:val="000000" w:themeColor="text1"/>
          <w:szCs w:val="24"/>
          <w:lang w:val="ru-RU"/>
        </w:rPr>
        <w:t>)</w:t>
      </w:r>
      <w:r w:rsidR="00226980" w:rsidRPr="00194BC0">
        <w:rPr>
          <w:rFonts w:ascii="Times New Roman" w:hAnsi="Times New Roman" w:cs="Times New Roman"/>
          <w:color w:val="000000" w:themeColor="text1"/>
          <w:szCs w:val="24"/>
        </w:rPr>
        <w:t xml:space="preserve"> и чл</w:t>
      </w:r>
      <w:r>
        <w:rPr>
          <w:rFonts w:ascii="Times New Roman" w:hAnsi="Times New Roman" w:cs="Times New Roman"/>
          <w:color w:val="000000" w:themeColor="text1"/>
          <w:szCs w:val="24"/>
        </w:rPr>
        <w:t>аном</w:t>
      </w:r>
      <w:r w:rsidR="00194BC0" w:rsidRPr="00194BC0">
        <w:rPr>
          <w:rFonts w:ascii="Times New Roman" w:hAnsi="Times New Roman" w:cs="Times New Roman"/>
          <w:color w:val="000000" w:themeColor="text1"/>
          <w:szCs w:val="24"/>
        </w:rPr>
        <w:t xml:space="preserve"> 40</w:t>
      </w:r>
      <w:r w:rsidR="00226980" w:rsidRPr="00194BC0">
        <w:rPr>
          <w:rFonts w:ascii="Times New Roman" w:hAnsi="Times New Roman" w:cs="Times New Roman"/>
          <w:color w:val="000000" w:themeColor="text1"/>
          <w:szCs w:val="24"/>
        </w:rPr>
        <w:t xml:space="preserve">. </w:t>
      </w:r>
      <w:r w:rsidR="00194BC0" w:rsidRPr="00194BC0">
        <w:rPr>
          <w:rFonts w:ascii="Times New Roman" w:hAnsi="Times New Roman" w:cs="Times New Roman"/>
          <w:color w:val="000000" w:themeColor="text1"/>
          <w:szCs w:val="24"/>
        </w:rPr>
        <w:t>став</w:t>
      </w:r>
      <w:r>
        <w:rPr>
          <w:rFonts w:ascii="Times New Roman" w:hAnsi="Times New Roman" w:cs="Times New Roman"/>
          <w:color w:val="000000" w:themeColor="text1"/>
          <w:szCs w:val="24"/>
        </w:rPr>
        <w:t>ом</w:t>
      </w:r>
      <w:r w:rsidR="00194BC0" w:rsidRPr="00194BC0">
        <w:rPr>
          <w:rFonts w:ascii="Times New Roman" w:hAnsi="Times New Roman" w:cs="Times New Roman"/>
          <w:color w:val="000000" w:themeColor="text1"/>
          <w:szCs w:val="24"/>
        </w:rPr>
        <w:t xml:space="preserve"> 1</w:t>
      </w:r>
      <w:r>
        <w:rPr>
          <w:rFonts w:ascii="Times New Roman" w:hAnsi="Times New Roman" w:cs="Times New Roman"/>
          <w:color w:val="000000" w:themeColor="text1"/>
          <w:szCs w:val="24"/>
        </w:rPr>
        <w:t>.</w:t>
      </w:r>
      <w:r w:rsidR="00194BC0" w:rsidRPr="00194BC0">
        <w:rPr>
          <w:rFonts w:ascii="Times New Roman" w:hAnsi="Times New Roman" w:cs="Times New Roman"/>
          <w:color w:val="000000" w:themeColor="text1"/>
          <w:szCs w:val="24"/>
        </w:rPr>
        <w:t xml:space="preserve"> </w:t>
      </w:r>
      <w:r>
        <w:rPr>
          <w:rFonts w:ascii="Times New Roman" w:hAnsi="Times New Roman" w:cs="Times New Roman"/>
          <w:color w:val="000000" w:themeColor="text1"/>
          <w:szCs w:val="24"/>
        </w:rPr>
        <w:t>тачком</w:t>
      </w:r>
      <w:r w:rsidR="00194BC0" w:rsidRPr="00194BC0">
        <w:rPr>
          <w:rFonts w:ascii="Times New Roman" w:hAnsi="Times New Roman" w:cs="Times New Roman"/>
          <w:color w:val="000000" w:themeColor="text1"/>
          <w:szCs w:val="24"/>
        </w:rPr>
        <w:t xml:space="preserve"> 4</w:t>
      </w:r>
      <w:r w:rsidR="00226980" w:rsidRPr="00194BC0">
        <w:rPr>
          <w:rFonts w:ascii="Times New Roman" w:hAnsi="Times New Roman" w:cs="Times New Roman"/>
          <w:color w:val="000000" w:themeColor="text1"/>
          <w:szCs w:val="24"/>
        </w:rPr>
        <w:t xml:space="preserve">5) Статута општине Рача („Сл. гласник општине Рача“, бр. </w:t>
      </w:r>
      <w:r w:rsidR="00194BC0" w:rsidRPr="00194BC0">
        <w:rPr>
          <w:rFonts w:ascii="Times New Roman" w:hAnsi="Times New Roman" w:cs="Times New Roman"/>
          <w:color w:val="000000" w:themeColor="text1"/>
          <w:szCs w:val="24"/>
        </w:rPr>
        <w:t>3/2019</w:t>
      </w:r>
      <w:r w:rsidR="00226980" w:rsidRPr="00194BC0">
        <w:rPr>
          <w:rFonts w:ascii="Times New Roman" w:hAnsi="Times New Roman" w:cs="Times New Roman"/>
          <w:color w:val="000000" w:themeColor="text1"/>
          <w:szCs w:val="24"/>
        </w:rPr>
        <w:t xml:space="preserve">), </w:t>
      </w:r>
      <w:r>
        <w:rPr>
          <w:rFonts w:ascii="Times New Roman" w:hAnsi="Times New Roman" w:cs="Times New Roman"/>
          <w:color w:val="000000" w:themeColor="text1"/>
          <w:szCs w:val="24"/>
        </w:rPr>
        <w:t>Општинско</w:t>
      </w:r>
      <w:r w:rsidR="00226980" w:rsidRPr="00194BC0">
        <w:rPr>
          <w:rFonts w:ascii="Times New Roman" w:hAnsi="Times New Roman" w:cs="Times New Roman"/>
          <w:color w:val="000000" w:themeColor="text1"/>
          <w:szCs w:val="24"/>
        </w:rPr>
        <w:t xml:space="preserve"> већа општине Рача, </w:t>
      </w:r>
      <w:r w:rsidR="00A40C95">
        <w:rPr>
          <w:rFonts w:ascii="Times New Roman" w:hAnsi="Times New Roman" w:cs="Times New Roman"/>
          <w:color w:val="000000" w:themeColor="text1"/>
          <w:szCs w:val="24"/>
        </w:rPr>
        <w:t>на седници одржаној дана 04</w:t>
      </w:r>
      <w:r w:rsidR="00615578">
        <w:rPr>
          <w:rFonts w:ascii="Times New Roman" w:hAnsi="Times New Roman" w:cs="Times New Roman"/>
          <w:color w:val="000000" w:themeColor="text1"/>
          <w:szCs w:val="24"/>
        </w:rPr>
        <w:t>.11.</w:t>
      </w:r>
      <w:r>
        <w:rPr>
          <w:rFonts w:ascii="Times New Roman" w:hAnsi="Times New Roman" w:cs="Times New Roman"/>
          <w:color w:val="000000" w:themeColor="text1"/>
          <w:szCs w:val="24"/>
        </w:rPr>
        <w:t>2024. године, утврдило је предлог</w:t>
      </w:r>
      <w:r w:rsidR="00226980" w:rsidRPr="00194BC0">
        <w:rPr>
          <w:rFonts w:ascii="Times New Roman" w:hAnsi="Times New Roman" w:cs="Times New Roman"/>
          <w:color w:val="000000" w:themeColor="text1"/>
          <w:szCs w:val="24"/>
        </w:rPr>
        <w:t>:</w:t>
      </w:r>
    </w:p>
    <w:p w:rsidR="00226980" w:rsidRPr="00194BC0" w:rsidRDefault="00226980" w:rsidP="00226980">
      <w:pPr>
        <w:jc w:val="right"/>
        <w:rPr>
          <w:rFonts w:ascii="Times New Roman" w:hAnsi="Times New Roman" w:cs="Times New Roman"/>
          <w:color w:val="000000" w:themeColor="text1"/>
          <w:szCs w:val="24"/>
        </w:rPr>
      </w:pPr>
    </w:p>
    <w:p w:rsidR="00226980" w:rsidRPr="00194BC0" w:rsidRDefault="00226980" w:rsidP="00305244">
      <w:pPr>
        <w:jc w:val="center"/>
        <w:rPr>
          <w:rFonts w:ascii="Times New Roman" w:hAnsi="Times New Roman" w:cs="Times New Roman"/>
          <w:b/>
          <w:color w:val="000000" w:themeColor="text1"/>
          <w:szCs w:val="24"/>
        </w:rPr>
      </w:pPr>
    </w:p>
    <w:p w:rsidR="00415F6D" w:rsidRDefault="00415F6D" w:rsidP="00305244">
      <w:pPr>
        <w:jc w:val="center"/>
        <w:rPr>
          <w:rFonts w:ascii="Times New Roman" w:hAnsi="Times New Roman" w:cs="Times New Roman"/>
          <w:b/>
          <w:color w:val="000000" w:themeColor="text1"/>
          <w:szCs w:val="24"/>
        </w:rPr>
      </w:pPr>
      <w:r>
        <w:rPr>
          <w:rFonts w:ascii="Times New Roman" w:hAnsi="Times New Roman" w:cs="Times New Roman"/>
          <w:b/>
          <w:color w:val="000000" w:themeColor="text1"/>
          <w:szCs w:val="24"/>
        </w:rPr>
        <w:t>ОДЛУКЕ</w:t>
      </w:r>
    </w:p>
    <w:p w:rsidR="00226980" w:rsidRPr="00194BC0" w:rsidRDefault="00226980" w:rsidP="00305244">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 xml:space="preserve"> О НАЧИНУ УТВРЂИВАЊА ДОПРИНОСА ЗА УРЕЂИВАЊЕ ГРАЂЕВИНСКОГ ЗЕМЉИШТА</w:t>
      </w:r>
    </w:p>
    <w:p w:rsidR="00226980" w:rsidRPr="00194BC0" w:rsidRDefault="00226980" w:rsidP="00305244">
      <w:pPr>
        <w:jc w:val="center"/>
        <w:rPr>
          <w:rFonts w:ascii="Times New Roman" w:hAnsi="Times New Roman" w:cs="Times New Roman"/>
          <w:b/>
          <w:color w:val="000000" w:themeColor="text1"/>
          <w:szCs w:val="24"/>
        </w:rPr>
      </w:pPr>
    </w:p>
    <w:p w:rsidR="00226980" w:rsidRPr="00194BC0" w:rsidRDefault="00226980" w:rsidP="00305244">
      <w:pPr>
        <w:jc w:val="center"/>
        <w:rPr>
          <w:rFonts w:ascii="Times New Roman" w:hAnsi="Times New Roman" w:cs="Times New Roman"/>
          <w:b/>
          <w:color w:val="000000" w:themeColor="text1"/>
          <w:szCs w:val="24"/>
        </w:rPr>
      </w:pPr>
    </w:p>
    <w:p w:rsidR="00305244" w:rsidRPr="00194BC0" w:rsidRDefault="00305244" w:rsidP="00305244">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 xml:space="preserve"> I ОСНОВНЕ ОДРЕДБЕ</w:t>
      </w:r>
    </w:p>
    <w:p w:rsidR="00305244" w:rsidRPr="00194BC0" w:rsidRDefault="00305244" w:rsidP="00305244">
      <w:pPr>
        <w:jc w:val="center"/>
        <w:rPr>
          <w:rFonts w:ascii="Times New Roman" w:hAnsi="Times New Roman" w:cs="Times New Roman"/>
          <w:b/>
          <w:color w:val="000000" w:themeColor="text1"/>
          <w:szCs w:val="24"/>
        </w:rPr>
      </w:pPr>
    </w:p>
    <w:p w:rsidR="00305244" w:rsidRPr="00194BC0" w:rsidRDefault="00305244" w:rsidP="00305244">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1</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305244">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Одлуком о начину утврђивања доприноса за уређивање грађевинског земљишта (у даљем тексту: Одлука) утврђују се: уређивање грађевинског земљишта, извори финансирања уређивања грађевинског земљишта, могућност припремања и опремања грађевинског земљишта средствима физичких или правних лица, начин и поступак закључивања уговора о заједничком припремању односно опремању грађевинског земљишта, зоне и намене објеката, коефицијенти зоне и коефицијенти намене, посебна умањења за недостајућу комуналну инфраструктуру, начин и поступак обрачуна и утврђивања доприноса, умањења за једнократно плаћање, као и друга питања од значаја за обрачун и наплату доприноса за уређивање грађевинског земљишта.</w:t>
      </w:r>
    </w:p>
    <w:p w:rsidR="00305244" w:rsidRPr="00194BC0" w:rsidRDefault="00305244" w:rsidP="00305244">
      <w:pPr>
        <w:rPr>
          <w:rFonts w:ascii="Times New Roman" w:hAnsi="Times New Roman" w:cs="Times New Roman"/>
          <w:color w:val="000000" w:themeColor="text1"/>
          <w:szCs w:val="24"/>
        </w:rPr>
      </w:pPr>
    </w:p>
    <w:p w:rsidR="00226980" w:rsidRPr="00415F6D" w:rsidRDefault="00226980" w:rsidP="00305244">
      <w:pPr>
        <w:rPr>
          <w:rFonts w:ascii="Times New Roman" w:hAnsi="Times New Roman" w:cs="Times New Roman"/>
          <w:color w:val="000000" w:themeColor="text1"/>
          <w:szCs w:val="24"/>
        </w:rPr>
      </w:pPr>
    </w:p>
    <w:p w:rsidR="00305244" w:rsidRPr="00194BC0" w:rsidRDefault="0079261F" w:rsidP="0079261F">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II</w:t>
      </w:r>
      <w:r w:rsidR="00305244" w:rsidRPr="00194BC0">
        <w:rPr>
          <w:rFonts w:ascii="Times New Roman" w:hAnsi="Times New Roman" w:cs="Times New Roman"/>
          <w:b/>
          <w:color w:val="000000" w:themeColor="text1"/>
          <w:szCs w:val="24"/>
        </w:rPr>
        <w:t xml:space="preserve"> ДОПРИНОС ЗА УРЕЂИВАЊЕ ГРАЂЕВИНСКОГ ЗЕМЉИШТА</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79261F">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2</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79261F">
      <w:pPr>
        <w:ind w:firstLine="720"/>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За уређивање грађевинског земљишта инвеститор</w:t>
      </w:r>
      <w:r w:rsidR="0079261F" w:rsidRPr="00194BC0">
        <w:rPr>
          <w:rFonts w:ascii="Times New Roman" w:hAnsi="Times New Roman" w:cs="Times New Roman"/>
          <w:color w:val="000000" w:themeColor="text1"/>
          <w:szCs w:val="24"/>
        </w:rPr>
        <w:t xml:space="preserve"> плаћа допринос општини Рача</w:t>
      </w:r>
      <w:r w:rsidRPr="00194BC0">
        <w:rPr>
          <w:rFonts w:ascii="Times New Roman" w:hAnsi="Times New Roman" w:cs="Times New Roman"/>
          <w:color w:val="000000" w:themeColor="text1"/>
          <w:szCs w:val="24"/>
        </w:rPr>
        <w:t>, на посеб</w:t>
      </w:r>
      <w:r w:rsidR="0079261F" w:rsidRPr="00194BC0">
        <w:rPr>
          <w:rFonts w:ascii="Times New Roman" w:hAnsi="Times New Roman" w:cs="Times New Roman"/>
          <w:color w:val="000000" w:themeColor="text1"/>
          <w:szCs w:val="24"/>
        </w:rPr>
        <w:t>ан рачун буџета општине Рача</w:t>
      </w:r>
      <w:r w:rsidRPr="00194BC0">
        <w:rPr>
          <w:rFonts w:ascii="Times New Roman" w:hAnsi="Times New Roman" w:cs="Times New Roman"/>
          <w:color w:val="000000" w:themeColor="text1"/>
          <w:szCs w:val="24"/>
        </w:rPr>
        <w:t>.</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79261F">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3</w:t>
      </w:r>
    </w:p>
    <w:p w:rsidR="00305244" w:rsidRPr="00194BC0" w:rsidRDefault="00305244" w:rsidP="00245BA5">
      <w:pPr>
        <w:jc w:val="both"/>
        <w:rPr>
          <w:rFonts w:ascii="Times New Roman" w:hAnsi="Times New Roman" w:cs="Times New Roman"/>
          <w:color w:val="000000" w:themeColor="text1"/>
          <w:szCs w:val="24"/>
        </w:rPr>
      </w:pPr>
    </w:p>
    <w:p w:rsidR="00305244" w:rsidRPr="00194BC0" w:rsidRDefault="00305244" w:rsidP="00245BA5">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Износ доприноса утврђује се решењем о грађевинској дозволи, а на основу обрачуна доприноса за уређивање грађевинског земљишта који врши надлежна организациона јединица у оквиру органа надлежног за финансије (у даљем тексту: орган надлежан за обрачун доприноса).</w:t>
      </w:r>
    </w:p>
    <w:p w:rsidR="00305244" w:rsidRPr="00194BC0" w:rsidRDefault="00305244" w:rsidP="00245BA5">
      <w:pPr>
        <w:jc w:val="both"/>
        <w:rPr>
          <w:rFonts w:ascii="Times New Roman" w:hAnsi="Times New Roman" w:cs="Times New Roman"/>
          <w:color w:val="000000" w:themeColor="text1"/>
          <w:szCs w:val="24"/>
        </w:rPr>
      </w:pPr>
    </w:p>
    <w:p w:rsidR="00415F6D" w:rsidRDefault="00415F6D" w:rsidP="0079261F">
      <w:pPr>
        <w:ind w:firstLine="720"/>
        <w:jc w:val="both"/>
        <w:rPr>
          <w:rFonts w:ascii="Times New Roman" w:hAnsi="Times New Roman" w:cs="Times New Roman"/>
          <w:color w:val="000000" w:themeColor="text1"/>
          <w:szCs w:val="24"/>
        </w:rPr>
      </w:pPr>
    </w:p>
    <w:p w:rsidR="00305244" w:rsidRPr="00194BC0" w:rsidRDefault="00305244" w:rsidP="0079261F">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Обрачун доприноса из претходног става је саставни део решења о грађевинској дозволи.</w:t>
      </w:r>
    </w:p>
    <w:p w:rsidR="00305244" w:rsidRPr="00194BC0" w:rsidRDefault="00305244" w:rsidP="0079261F">
      <w:pPr>
        <w:jc w:val="both"/>
        <w:rPr>
          <w:rFonts w:ascii="Times New Roman" w:hAnsi="Times New Roman" w:cs="Times New Roman"/>
          <w:color w:val="000000" w:themeColor="text1"/>
          <w:szCs w:val="24"/>
        </w:rPr>
      </w:pPr>
    </w:p>
    <w:p w:rsidR="00305244" w:rsidRPr="00194BC0" w:rsidRDefault="00305244" w:rsidP="0079261F">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4</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79261F">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У допринос за уређивање грађевинског земљишта нису урачунати и падају на терет инвеститора:</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накнада за промену намене пољопривредног земљишта,</w:t>
      </w: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накнада за уређење партера (пројектовање и извођење радова),</w:t>
      </w:r>
    </w:p>
    <w:p w:rsidR="00305244" w:rsidRPr="00194BC0" w:rsidRDefault="0079261F"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трошкови измештања подз</w:t>
      </w:r>
      <w:r w:rsidR="00305244" w:rsidRPr="00194BC0">
        <w:rPr>
          <w:rFonts w:ascii="Times New Roman" w:hAnsi="Times New Roman" w:cs="Times New Roman"/>
          <w:color w:val="000000" w:themeColor="text1"/>
          <w:szCs w:val="24"/>
        </w:rPr>
        <w:t>емних инсталација као и</w:t>
      </w: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трошкови прикључака на комуналну инфраструктуру.</w:t>
      </w:r>
    </w:p>
    <w:p w:rsidR="00305244" w:rsidRPr="00194BC0" w:rsidRDefault="00305244" w:rsidP="00305244">
      <w:pPr>
        <w:rPr>
          <w:rFonts w:ascii="Times New Roman" w:hAnsi="Times New Roman" w:cs="Times New Roman"/>
          <w:color w:val="000000" w:themeColor="text1"/>
          <w:szCs w:val="24"/>
        </w:rPr>
      </w:pPr>
    </w:p>
    <w:p w:rsidR="00194BC0" w:rsidRPr="00194BC0" w:rsidRDefault="00194BC0" w:rsidP="00305244">
      <w:pPr>
        <w:rPr>
          <w:rFonts w:ascii="Times New Roman" w:hAnsi="Times New Roman" w:cs="Times New Roman"/>
          <w:color w:val="000000" w:themeColor="text1"/>
          <w:szCs w:val="24"/>
        </w:rPr>
      </w:pPr>
    </w:p>
    <w:p w:rsidR="00226980" w:rsidRPr="00194BC0" w:rsidRDefault="00226980" w:rsidP="00305244">
      <w:pPr>
        <w:rPr>
          <w:rFonts w:ascii="Times New Roman" w:hAnsi="Times New Roman" w:cs="Times New Roman"/>
          <w:color w:val="000000" w:themeColor="text1"/>
          <w:szCs w:val="24"/>
        </w:rPr>
      </w:pPr>
    </w:p>
    <w:p w:rsidR="00305244" w:rsidRPr="00194BC0" w:rsidRDefault="00305244" w:rsidP="0079261F">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1. Обрачун доприноса за уређивање грађевинског земљишта</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79261F">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5</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79261F">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xml:space="preserve">Износ доприноса за уређивање грађевинског земљишта утврђује се тако што се основица коју чини просечна цена квадратног метра станова новоградње у </w:t>
      </w:r>
      <w:r w:rsidR="0079261F" w:rsidRPr="00194BC0">
        <w:rPr>
          <w:rFonts w:ascii="Times New Roman" w:hAnsi="Times New Roman" w:cs="Times New Roman"/>
          <w:color w:val="000000" w:themeColor="text1"/>
          <w:szCs w:val="24"/>
        </w:rPr>
        <w:t>општини Рача или просечна цена у општинама и градовима из исте груперазвијености</w:t>
      </w:r>
      <w:r w:rsidRPr="00194BC0">
        <w:rPr>
          <w:rFonts w:ascii="Times New Roman" w:hAnsi="Times New Roman" w:cs="Times New Roman"/>
          <w:color w:val="000000" w:themeColor="text1"/>
          <w:szCs w:val="24"/>
        </w:rPr>
        <w:t>, према последњим објављеним подацима Републичког завода за статистику, помножи са укупном нето површином објекта који је предмет градње израженом у метрима квадратним и са коефицијентом зоне и коефицијентом намене објекта, утврђеним чланом 9. ове одлуке.</w:t>
      </w:r>
    </w:p>
    <w:p w:rsidR="00305244" w:rsidRPr="00194BC0" w:rsidRDefault="00305244" w:rsidP="0079261F">
      <w:pPr>
        <w:jc w:val="both"/>
        <w:rPr>
          <w:rFonts w:ascii="Times New Roman" w:hAnsi="Times New Roman" w:cs="Times New Roman"/>
          <w:color w:val="000000" w:themeColor="text1"/>
          <w:szCs w:val="24"/>
        </w:rPr>
      </w:pPr>
    </w:p>
    <w:p w:rsidR="00305244" w:rsidRPr="00194BC0" w:rsidRDefault="00305244" w:rsidP="0012559F">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6</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67118D">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Површина објекта за који се плаћа допринос обрачунава се по метру квадратном (м2) укупне нето површине, према ЈУС У.Ц2.100 2002.</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67118D">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Када се за израчунавање нето површине објекта користе мере из графичке документације, тако израчунате површине се умањују за 3%, при чему се ово умањење не примењује уколико су зидови од префабрикованих елемената и уколико се мере за израчунавање нето површине узимају из пројекта изведеног објекта.</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67118D">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Нето површина је површина свих простора између зидова и преграда.</w:t>
      </w:r>
    </w:p>
    <w:p w:rsidR="00305244" w:rsidRPr="00194BC0" w:rsidRDefault="00305244" w:rsidP="0067118D">
      <w:pPr>
        <w:jc w:val="both"/>
        <w:rPr>
          <w:rFonts w:ascii="Times New Roman" w:hAnsi="Times New Roman" w:cs="Times New Roman"/>
          <w:color w:val="000000" w:themeColor="text1"/>
          <w:szCs w:val="24"/>
        </w:rPr>
      </w:pPr>
    </w:p>
    <w:p w:rsidR="00305244" w:rsidRPr="00194BC0" w:rsidRDefault="00305244" w:rsidP="0067118D">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Нето површину чине следеће површине:</w:t>
      </w:r>
    </w:p>
    <w:p w:rsidR="00305244" w:rsidRPr="00194BC0" w:rsidRDefault="00305244" w:rsidP="0067118D">
      <w:pPr>
        <w:jc w:val="both"/>
        <w:rPr>
          <w:rFonts w:ascii="Times New Roman" w:hAnsi="Times New Roman" w:cs="Times New Roman"/>
          <w:color w:val="000000" w:themeColor="text1"/>
          <w:szCs w:val="24"/>
        </w:rPr>
      </w:pPr>
    </w:p>
    <w:p w:rsidR="00305244" w:rsidRPr="00194BC0" w:rsidRDefault="00305244" w:rsidP="0067118D">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корисна површина (делови нето површине који одговарају намени и функцији зграде),</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67118D">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површина под инсталацијама- техничке просторије (делови нето површине у којима су смештене техничке инсталације објекта за канализацију, водовод, грејање и потрошњу топле воде, гасне инсталације, снабдевање електричном енергијом, генераторе, вентилацију, климатизацију и хлађење, телекомуникације, лифтове, ескалаторе и транспортере, као и остале услужне инсталације) и</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67118D">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lastRenderedPageBreak/>
        <w:t>- површина за комуникацију (делови нето површине који служе за комуникацију у објекту као што су степеништа, коридори, пасажи, унутрашње рампе, холови, ходници, лифтовски отвори, инсталације за општи промет и сл.).</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147B15">
      <w:pPr>
        <w:ind w:firstLine="720"/>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У нето површину не урачунавају се следећи делови зграде:</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тавани,</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147B15">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делови поткровља, односно делови испод степеништа или других косих равни чија је светла висина мања од 1,50 м,</w:t>
      </w:r>
    </w:p>
    <w:p w:rsidR="00305244" w:rsidRPr="00194BC0" w:rsidRDefault="00305244" w:rsidP="00147B15">
      <w:pPr>
        <w:jc w:val="both"/>
        <w:rPr>
          <w:rFonts w:ascii="Times New Roman" w:hAnsi="Times New Roman" w:cs="Times New Roman"/>
          <w:color w:val="000000" w:themeColor="text1"/>
          <w:szCs w:val="24"/>
        </w:rPr>
      </w:pP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техничке етаже чија је светла висина мања од 1,50 м,</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простори између терена и доњег нивоа зграде који служе за хоризонтални развод инсталација,</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147B15">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наткривене и упуштене рампе, надстрешнице на улазу у објекат, спољна степеништа, равне непроходне терасе и атријуми, осим атријума са чврстом, неземљаном подлогом,</w:t>
      </w:r>
    </w:p>
    <w:p w:rsidR="00305244" w:rsidRPr="00194BC0" w:rsidRDefault="00305244" w:rsidP="00147B15">
      <w:pPr>
        <w:jc w:val="both"/>
        <w:rPr>
          <w:rFonts w:ascii="Times New Roman" w:hAnsi="Times New Roman" w:cs="Times New Roman"/>
          <w:color w:val="000000" w:themeColor="text1"/>
          <w:szCs w:val="24"/>
        </w:rPr>
      </w:pP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затворени вертикални и хоризонтални инсталациони шахтови.</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226980">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Код објеката за које је пројектном документацијом предвиђено коришћење слободних површина, укупна нето површина обрачунава се по м2 земљишта (бензинске пумпе, антенски стубови и сл. објекти).</w:t>
      </w:r>
    </w:p>
    <w:p w:rsidR="00305244" w:rsidRPr="00194BC0" w:rsidRDefault="00305244" w:rsidP="00226980">
      <w:pPr>
        <w:jc w:val="both"/>
        <w:rPr>
          <w:rFonts w:ascii="Times New Roman" w:hAnsi="Times New Roman" w:cs="Times New Roman"/>
          <w:color w:val="000000" w:themeColor="text1"/>
          <w:szCs w:val="24"/>
        </w:rPr>
      </w:pPr>
    </w:p>
    <w:p w:rsidR="00305244" w:rsidRPr="00194BC0" w:rsidRDefault="00305244" w:rsidP="00226980">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Површина привредно-производног објекта до 400 м2 нето површине јесте површина свих радних, помоћних и пратећих просторија са припадајућим комуникацијама и пратећим канцеларијским простором, при чему се допринос за уређивање грађевинског земљишта не обрачунава за пословни, односно канцеларијски простор, уколико његова површина не прелази 10% од укупне нето површине привредно-производног објекта.</w:t>
      </w:r>
    </w:p>
    <w:p w:rsidR="00305244" w:rsidRPr="00194BC0" w:rsidRDefault="00305244" w:rsidP="00226980">
      <w:pPr>
        <w:rPr>
          <w:rFonts w:ascii="Times New Roman" w:hAnsi="Times New Roman" w:cs="Times New Roman"/>
          <w:color w:val="000000" w:themeColor="text1"/>
          <w:szCs w:val="24"/>
        </w:rPr>
      </w:pPr>
    </w:p>
    <w:p w:rsidR="00305244" w:rsidRPr="00194BC0" w:rsidRDefault="00305244" w:rsidP="00226980">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За нето површину пословног, односно канцеларијског простора из става 7. овог члана, која прелази 10% укупне нето површине привредно-производног објекта обрачунава се допринос за уређивање грађевинског земљишта по коефицијентима за пословни простор.</w:t>
      </w:r>
    </w:p>
    <w:p w:rsidR="00305244" w:rsidRPr="00194BC0" w:rsidRDefault="00305244" w:rsidP="00226980">
      <w:pPr>
        <w:rPr>
          <w:rFonts w:ascii="Times New Roman" w:hAnsi="Times New Roman" w:cs="Times New Roman"/>
          <w:color w:val="000000" w:themeColor="text1"/>
          <w:szCs w:val="24"/>
        </w:rPr>
      </w:pPr>
    </w:p>
    <w:p w:rsidR="00305244" w:rsidRPr="00194BC0" w:rsidRDefault="00305244" w:rsidP="00226980">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Површина привредно-производног објекта преко 400 м2 нето површине јесте површина свих радних, помоћних и пратећих просторија са припадајућим комуникацијама и пратећим канцеларијским простором, при чему се допринос за уређивање грађевинског земљишта не обрачунава за пословни, односно канцеларијски простор, уколико његова површина не прелази 5% од укупне нето површине привредно-производног објекта.</w:t>
      </w:r>
    </w:p>
    <w:p w:rsidR="00305244" w:rsidRPr="00194BC0" w:rsidRDefault="00305244" w:rsidP="00226980">
      <w:pPr>
        <w:rPr>
          <w:rFonts w:ascii="Times New Roman" w:hAnsi="Times New Roman" w:cs="Times New Roman"/>
          <w:color w:val="000000" w:themeColor="text1"/>
          <w:szCs w:val="24"/>
        </w:rPr>
      </w:pPr>
    </w:p>
    <w:p w:rsidR="00305244" w:rsidRPr="00194BC0" w:rsidRDefault="00305244" w:rsidP="00226980">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За нето површину пословног, односно канцеларијског простора из става 9. овог члана, која прелази 5% укупне нето површине привредно-поризводног објекта обрачунава се допринос за уређивање грађевинског земљишта по коефицијентима за пословни простор.</w:t>
      </w:r>
    </w:p>
    <w:p w:rsidR="00305244" w:rsidRPr="00194BC0" w:rsidRDefault="00305244" w:rsidP="00226980">
      <w:pPr>
        <w:rPr>
          <w:rFonts w:ascii="Times New Roman" w:hAnsi="Times New Roman" w:cs="Times New Roman"/>
          <w:color w:val="000000" w:themeColor="text1"/>
          <w:szCs w:val="24"/>
        </w:rPr>
      </w:pPr>
    </w:p>
    <w:p w:rsidR="00305244" w:rsidRPr="00194BC0" w:rsidRDefault="00305244" w:rsidP="00147B15">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2. Зоне и намене објеката</w:t>
      </w:r>
    </w:p>
    <w:p w:rsidR="00305244" w:rsidRPr="00194BC0" w:rsidRDefault="00305244" w:rsidP="00147B15">
      <w:pPr>
        <w:jc w:val="center"/>
        <w:rPr>
          <w:rFonts w:ascii="Times New Roman" w:hAnsi="Times New Roman" w:cs="Times New Roman"/>
          <w:b/>
          <w:color w:val="000000" w:themeColor="text1"/>
          <w:szCs w:val="24"/>
        </w:rPr>
      </w:pPr>
    </w:p>
    <w:p w:rsidR="00305244" w:rsidRPr="00194BC0" w:rsidRDefault="00305244" w:rsidP="00147B15">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7</w:t>
      </w:r>
    </w:p>
    <w:p w:rsidR="00305244" w:rsidRPr="00194BC0" w:rsidRDefault="00305244" w:rsidP="00305244">
      <w:pPr>
        <w:rPr>
          <w:rFonts w:ascii="Times New Roman" w:hAnsi="Times New Roman" w:cs="Times New Roman"/>
          <w:color w:val="000000" w:themeColor="text1"/>
          <w:szCs w:val="24"/>
        </w:rPr>
      </w:pPr>
    </w:p>
    <w:p w:rsidR="00147B15" w:rsidRPr="00194BC0" w:rsidRDefault="00147B15" w:rsidP="00147B15">
      <w:pPr>
        <w:ind w:firstLine="720"/>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За утврђивање доприноса за уређивање грађевинског земљишта одређују се следеће зоне и то:</w:t>
      </w:r>
    </w:p>
    <w:p w:rsidR="00147B15" w:rsidRDefault="00147B15" w:rsidP="00147B15">
      <w:pPr>
        <w:ind w:firstLine="720"/>
        <w:rPr>
          <w:rFonts w:ascii="Times New Roman" w:hAnsi="Times New Roman" w:cs="Times New Roman"/>
          <w:color w:val="000000" w:themeColor="text1"/>
          <w:szCs w:val="24"/>
        </w:rPr>
      </w:pPr>
    </w:p>
    <w:p w:rsidR="00415F6D" w:rsidRDefault="00415F6D" w:rsidP="00147B15">
      <w:pPr>
        <w:ind w:firstLine="720"/>
        <w:rPr>
          <w:rFonts w:ascii="Times New Roman" w:hAnsi="Times New Roman" w:cs="Times New Roman"/>
          <w:color w:val="000000" w:themeColor="text1"/>
          <w:szCs w:val="24"/>
        </w:rPr>
      </w:pPr>
    </w:p>
    <w:p w:rsidR="00415F6D" w:rsidRDefault="00415F6D" w:rsidP="00147B15">
      <w:pPr>
        <w:ind w:firstLine="720"/>
        <w:rPr>
          <w:rFonts w:ascii="Times New Roman" w:hAnsi="Times New Roman" w:cs="Times New Roman"/>
          <w:color w:val="000000" w:themeColor="text1"/>
          <w:szCs w:val="24"/>
        </w:rPr>
      </w:pPr>
    </w:p>
    <w:p w:rsidR="00415F6D" w:rsidRDefault="00415F6D" w:rsidP="00147B15">
      <w:pPr>
        <w:ind w:firstLine="720"/>
        <w:rPr>
          <w:rFonts w:ascii="Times New Roman" w:hAnsi="Times New Roman" w:cs="Times New Roman"/>
          <w:color w:val="000000" w:themeColor="text1"/>
          <w:szCs w:val="24"/>
        </w:rPr>
      </w:pPr>
    </w:p>
    <w:p w:rsidR="00415F6D" w:rsidRPr="00415F6D" w:rsidRDefault="00415F6D" w:rsidP="00147B15">
      <w:pPr>
        <w:ind w:firstLine="720"/>
        <w:rPr>
          <w:rFonts w:ascii="Times New Roman" w:hAnsi="Times New Roman" w:cs="Times New Roman"/>
          <w:color w:val="000000" w:themeColor="text1"/>
          <w:szCs w:val="24"/>
        </w:rPr>
      </w:pPr>
    </w:p>
    <w:p w:rsidR="00147B15" w:rsidRPr="00194BC0" w:rsidRDefault="00147B15" w:rsidP="00147B15">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1. Прва зона обухвата улице: ул.Карађорђеву, ул.Деспота Стефана Високог (до раскрсницеса ул. Академика Антонија Исаковића), ул.Краља Петра Првог, ул.Хајдук Вељкову (у делу одрaскрснице са ул. Карађорђевом до раскрснице са ул. Краља Петра Првог), ул.Трговачку,ул.Краља Александра Карађорђевића (у делу од раскрснице са ул.Карађорђевом до раскрсницеса ул.Краља Петра Првог), ул. Краљице Марије (у делу од раскрснице са ул.Карађорђевом дораскрснице са ул.Краља Петра Првог), ул. Перице Ивановића, ул.Опленачку, ул.Ђуре Јакшића,ул.Милоша Савковића, ул Војводе Павла Цукића (од улице Карађорђеве до старе Изолме),ул.Цара Лазара (до раскрснице са ул. Милоша Обилића и ул. Косовске)</w:t>
      </w:r>
    </w:p>
    <w:p w:rsidR="002D6161" w:rsidRPr="00194BC0" w:rsidRDefault="002D6161" w:rsidP="00147B15">
      <w:pPr>
        <w:jc w:val="both"/>
        <w:rPr>
          <w:rFonts w:ascii="Times New Roman" w:hAnsi="Times New Roman" w:cs="Times New Roman"/>
          <w:color w:val="000000" w:themeColor="text1"/>
          <w:szCs w:val="24"/>
        </w:rPr>
      </w:pPr>
    </w:p>
    <w:p w:rsidR="00147B15" w:rsidRPr="00194BC0" w:rsidRDefault="00147B15" w:rsidP="00147B15">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2. Друга зона обухвата улице: ул.Његошеву, ул.Николе Пашића, ул.Милоша Обилића,ул.Царице Милице, ул.Милоша Обреновића, ул.Немањину, ул.Косовску, ул.РадојаДомановића, ул.Виноградску, ул.Светог Саве (од раскрснице са ул.Карађорђевом дораскрснице са ул.Вука Караџића), ул.Николе Тесле, ул.Вука Караџића, ул.Лепеничку,ул.Видовданску, ул.Проте Матеје, ул.Станоја Главаша, ул.Авалску, ул.Краља АлександраКарађорђевића(од раскрснице са ул.Краља Петра Првог до раскрснице са ул. Солунскихратника), ул.Рудничку, ул.Краљице Марије (од раскрснице са ул.Краља Петра Првог дораскрснице са ул.Краља Александра Карађорђевића), ул.Јасеничку, ул.Павла Цукића(од стареИзолме до граница са К.О. Вучић), ул. др. Ђоке Митровића, ул.Солунских Ратника,ул.Академика Панте Срећковића, ул.Цара Душана, ул.Јована Вишевца, ул.АкадемикаАнтонија Исаковића, ул. Хајдук Вељкова (од раскрснице са ул. Краља Петра Првог дораскрснице са ул. Рудничком), Деспота Стефана Високог ( од раскрснице са ул. АкадемикаАнтонија Исаковића до границе са К. О. Адровац) улица Церска, улица Кајмакчаланска иулица Цариградска.</w:t>
      </w:r>
    </w:p>
    <w:p w:rsidR="002D6161" w:rsidRPr="00194BC0" w:rsidRDefault="002D6161" w:rsidP="00147B15">
      <w:pPr>
        <w:jc w:val="both"/>
        <w:rPr>
          <w:rFonts w:ascii="Times New Roman" w:hAnsi="Times New Roman" w:cs="Times New Roman"/>
          <w:color w:val="000000" w:themeColor="text1"/>
          <w:szCs w:val="24"/>
        </w:rPr>
      </w:pPr>
    </w:p>
    <w:p w:rsidR="00147B15" w:rsidRPr="00194BC0" w:rsidRDefault="00147B15" w:rsidP="00147B15">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3. Трећа зона обухвата све остале просторе на подручју Плана генералне регулације.</w:t>
      </w:r>
    </w:p>
    <w:p w:rsidR="002D6161" w:rsidRPr="00194BC0" w:rsidRDefault="002D6161" w:rsidP="00147B15">
      <w:pPr>
        <w:rPr>
          <w:rFonts w:ascii="Times New Roman" w:hAnsi="Times New Roman" w:cs="Times New Roman"/>
          <w:color w:val="000000" w:themeColor="text1"/>
          <w:szCs w:val="24"/>
        </w:rPr>
      </w:pPr>
    </w:p>
    <w:p w:rsidR="00147B15" w:rsidRPr="00194BC0" w:rsidRDefault="00147B15" w:rsidP="00577BDB">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4. Четврта зона обухвата све остале просторе на подручју општине Рача који не припадајупретходним зонама – сеоске Месне заједнице.</w:t>
      </w:r>
    </w:p>
    <w:p w:rsidR="00147B15" w:rsidRPr="00194BC0" w:rsidRDefault="00147B15" w:rsidP="00147B15">
      <w:pPr>
        <w:ind w:firstLine="720"/>
        <w:rPr>
          <w:rFonts w:ascii="Times New Roman" w:hAnsi="Times New Roman" w:cs="Times New Roman"/>
          <w:color w:val="000000" w:themeColor="text1"/>
          <w:szCs w:val="24"/>
        </w:rPr>
      </w:pPr>
    </w:p>
    <w:p w:rsidR="00305244" w:rsidRPr="00194BC0" w:rsidRDefault="00305244" w:rsidP="00147B15">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8</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147B15">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Намена објекта за који се обрачунава и утврђује допринос за уређивање грађевинског земљишта може бити следећа:</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147B15">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1. Становање: стамбени објекти, стамбени простор у стамбено- пословним објектима и пратећи гаражни простор у стамбеним објектима, као и припадајући део гаражног простора у стамбено-пословним објектима;</w:t>
      </w:r>
    </w:p>
    <w:p w:rsidR="00305244" w:rsidRPr="00194BC0" w:rsidRDefault="00305244" w:rsidP="00147B15">
      <w:pPr>
        <w:jc w:val="both"/>
        <w:rPr>
          <w:rFonts w:ascii="Times New Roman" w:hAnsi="Times New Roman" w:cs="Times New Roman"/>
          <w:color w:val="000000" w:themeColor="text1"/>
          <w:szCs w:val="24"/>
        </w:rPr>
      </w:pPr>
    </w:p>
    <w:p w:rsidR="00305244" w:rsidRPr="00194BC0" w:rsidRDefault="00305244" w:rsidP="00147B15">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2. Пословање: пословни објекти, хотели, хостели, угоститељски објекти, трговински објекти-простори са пратећим простором, пословно-стамбени апартмани, бензинске пумпе без и са надстрешницом, атељеи, објекти- простори услужног занатства, канцеларије, гараже као засебни комерцијални објекти, мењачнице, објекти разоноде, кладионице, коцкарнице, видео клубови и остали простори пословно комерцијалног карактера, пословни простор у оквиру стамбено-пословних, привредно-производних и осталих објеката, складишта и магацини који нису у функцији производних објеката и пратећи гаражни простор у оквиру ових објеката;</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147B15">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lastRenderedPageBreak/>
        <w:t>3. Објекти јавне намене (објекти намењени за јавно коришћење) који нису у јавној својини: објекти образовања, затворени објекти спорта и рекреације, социјалне и дечије заштите, здравства, културе уметности, заштите животне средине, саобраћајни терминали, поште и сл.;</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147B15">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4. Објекти остале намене: стоваришта, пијаце, помоћни објекти, економски објекти у смислу Закона о планирању и изградњи и објекти традиционалних цркава и традиционалних верских заједница у смислу Закона о црквама и верским заједницама;</w:t>
      </w:r>
    </w:p>
    <w:p w:rsidR="00722262" w:rsidRPr="00194BC0" w:rsidRDefault="00722262" w:rsidP="00147B15">
      <w:pPr>
        <w:jc w:val="both"/>
        <w:rPr>
          <w:rFonts w:ascii="Times New Roman" w:hAnsi="Times New Roman" w:cs="Times New Roman"/>
          <w:color w:val="000000" w:themeColor="text1"/>
          <w:szCs w:val="24"/>
        </w:rPr>
      </w:pPr>
    </w:p>
    <w:p w:rsidR="008C0C58" w:rsidRPr="00194BC0" w:rsidRDefault="008C0C58" w:rsidP="008C0C58">
      <w:pPr>
        <w:shd w:val="clear" w:color="auto" w:fill="FFFFFF"/>
        <w:autoSpaceDE w:val="0"/>
        <w:autoSpaceDN w:val="0"/>
        <w:adjustRightInd w:val="0"/>
        <w:ind w:firstLine="720"/>
        <w:jc w:val="both"/>
        <w:rPr>
          <w:rFonts w:ascii="Times New Roman" w:eastAsia="Times New Roman" w:hAnsi="Times New Roman" w:cs="Times New Roman"/>
          <w:color w:val="000000" w:themeColor="text1"/>
          <w:szCs w:val="24"/>
          <w:lang w:val="sr-Cyrl-CS"/>
        </w:rPr>
      </w:pPr>
    </w:p>
    <w:p w:rsidR="00305244" w:rsidRPr="00194BC0" w:rsidRDefault="00305244" w:rsidP="00147B15">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Објекти - простори који нису наведени у ставу 1. овог члана, уподобиће се најсличнијој наведеној намени;</w:t>
      </w:r>
    </w:p>
    <w:p w:rsidR="00305244" w:rsidRPr="008750F5" w:rsidRDefault="00305244" w:rsidP="00305244">
      <w:pPr>
        <w:rPr>
          <w:rFonts w:ascii="Times New Roman" w:hAnsi="Times New Roman" w:cs="Times New Roman"/>
          <w:color w:val="FF0000"/>
          <w:szCs w:val="24"/>
        </w:rPr>
      </w:pPr>
    </w:p>
    <w:p w:rsidR="00305244" w:rsidRPr="00256282" w:rsidRDefault="00305244" w:rsidP="00722262">
      <w:pPr>
        <w:jc w:val="center"/>
        <w:rPr>
          <w:rFonts w:ascii="Times New Roman" w:hAnsi="Times New Roman" w:cs="Times New Roman"/>
          <w:b/>
          <w:color w:val="000000" w:themeColor="text1"/>
          <w:szCs w:val="24"/>
        </w:rPr>
      </w:pPr>
      <w:r w:rsidRPr="00256282">
        <w:rPr>
          <w:rFonts w:ascii="Times New Roman" w:hAnsi="Times New Roman" w:cs="Times New Roman"/>
          <w:b/>
          <w:color w:val="000000" w:themeColor="text1"/>
          <w:szCs w:val="24"/>
        </w:rPr>
        <w:t>3. Коефицијенти зоне и коефицијенти намене</w:t>
      </w:r>
    </w:p>
    <w:p w:rsidR="00305244" w:rsidRPr="00256282" w:rsidRDefault="00305244" w:rsidP="00722262">
      <w:pPr>
        <w:jc w:val="center"/>
        <w:rPr>
          <w:rFonts w:ascii="Times New Roman" w:hAnsi="Times New Roman" w:cs="Times New Roman"/>
          <w:b/>
          <w:color w:val="000000" w:themeColor="text1"/>
          <w:szCs w:val="24"/>
        </w:rPr>
      </w:pPr>
    </w:p>
    <w:p w:rsidR="00305244" w:rsidRPr="00256282" w:rsidRDefault="00305244" w:rsidP="00722262">
      <w:pPr>
        <w:jc w:val="center"/>
        <w:rPr>
          <w:rFonts w:ascii="Times New Roman" w:hAnsi="Times New Roman" w:cs="Times New Roman"/>
          <w:b/>
          <w:color w:val="000000" w:themeColor="text1"/>
          <w:szCs w:val="24"/>
        </w:rPr>
      </w:pPr>
      <w:r w:rsidRPr="00256282">
        <w:rPr>
          <w:rFonts w:ascii="Times New Roman" w:hAnsi="Times New Roman" w:cs="Times New Roman"/>
          <w:b/>
          <w:color w:val="000000" w:themeColor="text1"/>
          <w:szCs w:val="24"/>
        </w:rPr>
        <w:t>Члан 9</w:t>
      </w:r>
    </w:p>
    <w:p w:rsidR="00305244" w:rsidRPr="00256282" w:rsidRDefault="00305244" w:rsidP="00305244">
      <w:pPr>
        <w:rPr>
          <w:rFonts w:ascii="Times New Roman" w:hAnsi="Times New Roman" w:cs="Times New Roman"/>
          <w:color w:val="000000" w:themeColor="text1"/>
          <w:szCs w:val="24"/>
        </w:rPr>
      </w:pPr>
    </w:p>
    <w:p w:rsidR="00305244" w:rsidRPr="00256282" w:rsidRDefault="00305244" w:rsidP="00722262">
      <w:pPr>
        <w:ind w:firstLine="720"/>
        <w:jc w:val="both"/>
        <w:rPr>
          <w:rFonts w:ascii="Times New Roman" w:hAnsi="Times New Roman" w:cs="Times New Roman"/>
          <w:color w:val="000000" w:themeColor="text1"/>
          <w:szCs w:val="24"/>
        </w:rPr>
      </w:pPr>
      <w:r w:rsidRPr="00256282">
        <w:rPr>
          <w:rFonts w:ascii="Times New Roman" w:hAnsi="Times New Roman" w:cs="Times New Roman"/>
          <w:color w:val="000000" w:themeColor="text1"/>
          <w:szCs w:val="24"/>
        </w:rPr>
        <w:t>За обрачунавање доприноса за уређивање грађевинског земљишта одређују се следећи коефицијенти зоне и коефицијенти намене.</w:t>
      </w:r>
    </w:p>
    <w:p w:rsidR="00305244" w:rsidRPr="00256282" w:rsidRDefault="00305244" w:rsidP="00305244">
      <w:pPr>
        <w:rPr>
          <w:rFonts w:ascii="Times New Roman" w:hAnsi="Times New Roman" w:cs="Times New Roman"/>
          <w:color w:val="000000" w:themeColor="text1"/>
          <w:szCs w:val="24"/>
        </w:rPr>
      </w:pPr>
    </w:p>
    <w:p w:rsidR="00305244" w:rsidRPr="00256282" w:rsidRDefault="00305244" w:rsidP="00305244">
      <w:pPr>
        <w:rPr>
          <w:rFonts w:ascii="Times New Roman" w:hAnsi="Times New Roman" w:cs="Times New Roman"/>
          <w:color w:val="000000" w:themeColor="text1"/>
          <w:szCs w:val="24"/>
        </w:rPr>
      </w:pPr>
      <w:r w:rsidRPr="00256282">
        <w:rPr>
          <w:rFonts w:ascii="Times New Roman" w:hAnsi="Times New Roman" w:cs="Times New Roman"/>
          <w:color w:val="000000" w:themeColor="text1"/>
          <w:szCs w:val="24"/>
        </w:rPr>
        <w:t>Коефицијенти зоне одређени су у Табели 2.</w:t>
      </w:r>
    </w:p>
    <w:p w:rsidR="00305244" w:rsidRPr="00256282" w:rsidRDefault="00305244" w:rsidP="00305244">
      <w:pPr>
        <w:rPr>
          <w:rFonts w:ascii="Times New Roman" w:hAnsi="Times New Roman" w:cs="Times New Roman"/>
          <w:color w:val="000000" w:themeColor="text1"/>
          <w:szCs w:val="24"/>
        </w:rPr>
      </w:pPr>
    </w:p>
    <w:p w:rsidR="00B84DFC" w:rsidRPr="00256282" w:rsidRDefault="00305244" w:rsidP="00B84DFC">
      <w:pPr>
        <w:shd w:val="clear" w:color="auto" w:fill="FFFFFF"/>
        <w:ind w:left="360"/>
        <w:jc w:val="both"/>
        <w:rPr>
          <w:rFonts w:ascii="Times New Roman" w:hAnsi="Times New Roman" w:cs="Times New Roman"/>
          <w:b/>
          <w:bCs/>
          <w:color w:val="000000" w:themeColor="text1"/>
          <w:szCs w:val="24"/>
        </w:rPr>
      </w:pPr>
      <w:r w:rsidRPr="00256282">
        <w:rPr>
          <w:rFonts w:ascii="Times New Roman" w:hAnsi="Times New Roman" w:cs="Times New Roman"/>
          <w:color w:val="000000" w:themeColor="text1"/>
          <w:szCs w:val="24"/>
        </w:rPr>
        <w:t>Табела 2.</w:t>
      </w:r>
      <w:r w:rsidR="00B84DFC" w:rsidRPr="00256282">
        <w:rPr>
          <w:rFonts w:ascii="Times New Roman" w:hAnsi="Times New Roman" w:cs="Times New Roman"/>
          <w:b/>
          <w:bCs/>
          <w:color w:val="000000" w:themeColor="text1"/>
          <w:szCs w:val="24"/>
        </w:rPr>
        <w:t xml:space="preserve"> Коефицијенти за зону:</w:t>
      </w:r>
    </w:p>
    <w:p w:rsidR="00B84DFC" w:rsidRPr="00256282" w:rsidRDefault="00B84DFC" w:rsidP="00B84DFC">
      <w:pPr>
        <w:shd w:val="clear" w:color="auto" w:fill="FFFFFF"/>
        <w:autoSpaceDE w:val="0"/>
        <w:autoSpaceDN w:val="0"/>
        <w:adjustRightInd w:val="0"/>
        <w:ind w:firstLine="720"/>
        <w:jc w:val="both"/>
        <w:rPr>
          <w:rFonts w:ascii="Times New Roman" w:hAnsi="Times New Roman" w:cs="Times New Roman"/>
          <w:color w:val="000000" w:themeColor="text1"/>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3"/>
        <w:gridCol w:w="2168"/>
      </w:tblGrid>
      <w:tr w:rsidR="00B84DFC" w:rsidRPr="00256282" w:rsidTr="00FF4911">
        <w:trPr>
          <w:jc w:val="center"/>
        </w:trPr>
        <w:tc>
          <w:tcPr>
            <w:tcW w:w="2693" w:type="dxa"/>
          </w:tcPr>
          <w:p w:rsidR="00B84DFC" w:rsidRPr="00256282" w:rsidRDefault="00B84DFC" w:rsidP="00F32A87">
            <w:pPr>
              <w:shd w:val="clear" w:color="auto" w:fill="FFFFFF"/>
              <w:rPr>
                <w:rFonts w:ascii="Times New Roman" w:hAnsi="Times New Roman" w:cs="Times New Roman"/>
                <w:b/>
                <w:color w:val="000000" w:themeColor="text1"/>
                <w:szCs w:val="24"/>
              </w:rPr>
            </w:pPr>
            <w:r w:rsidRPr="00256282">
              <w:rPr>
                <w:rFonts w:ascii="Times New Roman" w:hAnsi="Times New Roman" w:cs="Times New Roman"/>
                <w:b/>
                <w:color w:val="000000" w:themeColor="text1"/>
                <w:szCs w:val="24"/>
              </w:rPr>
              <w:t>Урбанистичка зона</w:t>
            </w:r>
          </w:p>
        </w:tc>
        <w:tc>
          <w:tcPr>
            <w:tcW w:w="2168" w:type="dxa"/>
            <w:vAlign w:val="center"/>
          </w:tcPr>
          <w:p w:rsidR="00B84DFC" w:rsidRPr="00256282" w:rsidRDefault="00FF4911" w:rsidP="00F32A87">
            <w:pPr>
              <w:shd w:val="clear" w:color="auto" w:fill="FFFFFF"/>
              <w:rPr>
                <w:rFonts w:ascii="Times New Roman" w:hAnsi="Times New Roman" w:cs="Times New Roman"/>
                <w:b/>
                <w:color w:val="000000" w:themeColor="text1"/>
                <w:szCs w:val="24"/>
              </w:rPr>
            </w:pPr>
            <w:r w:rsidRPr="00256282">
              <w:rPr>
                <w:rFonts w:ascii="Times New Roman" w:hAnsi="Times New Roman" w:cs="Times New Roman"/>
                <w:b/>
                <w:color w:val="000000" w:themeColor="text1"/>
                <w:szCs w:val="24"/>
              </w:rPr>
              <w:t>К</w:t>
            </w:r>
            <w:r w:rsidR="00B84DFC" w:rsidRPr="00256282">
              <w:rPr>
                <w:rFonts w:ascii="Times New Roman" w:hAnsi="Times New Roman" w:cs="Times New Roman"/>
                <w:b/>
                <w:color w:val="000000" w:themeColor="text1"/>
                <w:szCs w:val="24"/>
              </w:rPr>
              <w:t>оефицијент</w:t>
            </w:r>
            <w:r w:rsidR="000A7B58" w:rsidRPr="00256282">
              <w:rPr>
                <w:rFonts w:ascii="Times New Roman" w:hAnsi="Times New Roman" w:cs="Times New Roman"/>
                <w:b/>
                <w:color w:val="000000" w:themeColor="text1"/>
                <w:szCs w:val="24"/>
              </w:rPr>
              <w:t>зоне</w:t>
            </w:r>
          </w:p>
        </w:tc>
      </w:tr>
      <w:tr w:rsidR="00B84DFC" w:rsidRPr="00256282" w:rsidTr="00FF4911">
        <w:trPr>
          <w:trHeight w:val="281"/>
          <w:jc w:val="center"/>
        </w:trPr>
        <w:tc>
          <w:tcPr>
            <w:tcW w:w="2693" w:type="dxa"/>
          </w:tcPr>
          <w:p w:rsidR="00B84DFC" w:rsidRPr="00256282" w:rsidRDefault="00B84DFC" w:rsidP="00F32A87">
            <w:pPr>
              <w:shd w:val="clear" w:color="auto" w:fill="FFFFFF"/>
              <w:rPr>
                <w:rFonts w:ascii="Times New Roman" w:hAnsi="Times New Roman" w:cs="Times New Roman"/>
                <w:color w:val="000000" w:themeColor="text1"/>
                <w:szCs w:val="24"/>
              </w:rPr>
            </w:pPr>
            <w:r w:rsidRPr="00256282">
              <w:rPr>
                <w:rFonts w:ascii="Times New Roman" w:hAnsi="Times New Roman" w:cs="Times New Roman"/>
                <w:color w:val="000000" w:themeColor="text1"/>
                <w:szCs w:val="24"/>
                <w:lang w:val="sr-Latn-CS"/>
              </w:rPr>
              <w:t xml:space="preserve">Прва </w:t>
            </w:r>
            <w:r w:rsidRPr="00256282">
              <w:rPr>
                <w:rFonts w:ascii="Times New Roman" w:hAnsi="Times New Roman" w:cs="Times New Roman"/>
                <w:color w:val="000000" w:themeColor="text1"/>
                <w:szCs w:val="24"/>
              </w:rPr>
              <w:t>зона</w:t>
            </w:r>
          </w:p>
        </w:tc>
        <w:tc>
          <w:tcPr>
            <w:tcW w:w="2168" w:type="dxa"/>
          </w:tcPr>
          <w:p w:rsidR="00B84DFC" w:rsidRPr="00256282" w:rsidRDefault="00B84DFC" w:rsidP="00F32A87">
            <w:pPr>
              <w:shd w:val="clear" w:color="auto" w:fill="FFFFFF"/>
              <w:jc w:val="center"/>
              <w:rPr>
                <w:rFonts w:ascii="Times New Roman" w:hAnsi="Times New Roman" w:cs="Times New Roman"/>
                <w:color w:val="000000" w:themeColor="text1"/>
                <w:szCs w:val="24"/>
                <w:lang w:val="sr-Latn-CS"/>
              </w:rPr>
            </w:pPr>
            <w:r w:rsidRPr="00256282">
              <w:rPr>
                <w:rFonts w:ascii="Times New Roman" w:hAnsi="Times New Roman" w:cs="Times New Roman"/>
                <w:color w:val="000000" w:themeColor="text1"/>
                <w:szCs w:val="24"/>
                <w:lang w:val="sr-Cyrl-CS"/>
              </w:rPr>
              <w:t>0,0605</w:t>
            </w:r>
          </w:p>
        </w:tc>
      </w:tr>
      <w:tr w:rsidR="00B84DFC" w:rsidRPr="00256282" w:rsidTr="00FF4911">
        <w:trPr>
          <w:trHeight w:val="281"/>
          <w:jc w:val="center"/>
        </w:trPr>
        <w:tc>
          <w:tcPr>
            <w:tcW w:w="2693" w:type="dxa"/>
          </w:tcPr>
          <w:p w:rsidR="00B84DFC" w:rsidRPr="00256282" w:rsidRDefault="00B84DFC" w:rsidP="00F32A87">
            <w:pPr>
              <w:shd w:val="clear" w:color="auto" w:fill="FFFFFF"/>
              <w:rPr>
                <w:rFonts w:ascii="Times New Roman" w:hAnsi="Times New Roman" w:cs="Times New Roman"/>
                <w:color w:val="000000" w:themeColor="text1"/>
                <w:szCs w:val="24"/>
              </w:rPr>
            </w:pPr>
            <w:r w:rsidRPr="00256282">
              <w:rPr>
                <w:rFonts w:ascii="Times New Roman" w:hAnsi="Times New Roman" w:cs="Times New Roman"/>
                <w:color w:val="000000" w:themeColor="text1"/>
                <w:szCs w:val="24"/>
                <w:lang w:val="sr-Latn-CS"/>
              </w:rPr>
              <w:t xml:space="preserve">Друга </w:t>
            </w:r>
            <w:r w:rsidRPr="00256282">
              <w:rPr>
                <w:rFonts w:ascii="Times New Roman" w:hAnsi="Times New Roman" w:cs="Times New Roman"/>
                <w:color w:val="000000" w:themeColor="text1"/>
                <w:szCs w:val="24"/>
              </w:rPr>
              <w:t>зона</w:t>
            </w:r>
          </w:p>
        </w:tc>
        <w:tc>
          <w:tcPr>
            <w:tcW w:w="2168" w:type="dxa"/>
          </w:tcPr>
          <w:p w:rsidR="00B84DFC" w:rsidRPr="00256282" w:rsidRDefault="00B84DFC" w:rsidP="00F32A87">
            <w:pPr>
              <w:shd w:val="clear" w:color="auto" w:fill="FFFFFF"/>
              <w:jc w:val="center"/>
              <w:rPr>
                <w:rFonts w:ascii="Times New Roman" w:hAnsi="Times New Roman" w:cs="Times New Roman"/>
                <w:color w:val="000000" w:themeColor="text1"/>
                <w:szCs w:val="24"/>
                <w:lang w:val="sr-Cyrl-CS"/>
              </w:rPr>
            </w:pPr>
            <w:r w:rsidRPr="00256282">
              <w:rPr>
                <w:rFonts w:ascii="Times New Roman" w:hAnsi="Times New Roman" w:cs="Times New Roman"/>
                <w:color w:val="000000" w:themeColor="text1"/>
                <w:szCs w:val="24"/>
                <w:lang w:val="sr-Cyrl-CS"/>
              </w:rPr>
              <w:t>0,0385</w:t>
            </w:r>
          </w:p>
        </w:tc>
      </w:tr>
      <w:tr w:rsidR="00B84DFC" w:rsidRPr="00256282" w:rsidTr="00FF4911">
        <w:trPr>
          <w:trHeight w:val="281"/>
          <w:jc w:val="center"/>
        </w:trPr>
        <w:tc>
          <w:tcPr>
            <w:tcW w:w="2693" w:type="dxa"/>
          </w:tcPr>
          <w:p w:rsidR="00B84DFC" w:rsidRPr="00256282" w:rsidRDefault="00B84DFC" w:rsidP="00F32A87">
            <w:pPr>
              <w:shd w:val="clear" w:color="auto" w:fill="FFFFFF"/>
              <w:rPr>
                <w:rFonts w:ascii="Times New Roman" w:hAnsi="Times New Roman" w:cs="Times New Roman"/>
                <w:color w:val="000000" w:themeColor="text1"/>
                <w:szCs w:val="24"/>
              </w:rPr>
            </w:pPr>
            <w:r w:rsidRPr="00256282">
              <w:rPr>
                <w:rFonts w:ascii="Times New Roman" w:hAnsi="Times New Roman" w:cs="Times New Roman"/>
                <w:color w:val="000000" w:themeColor="text1"/>
                <w:szCs w:val="24"/>
                <w:lang w:val="sr-Latn-CS"/>
              </w:rPr>
              <w:t xml:space="preserve">Трећа </w:t>
            </w:r>
            <w:r w:rsidRPr="00256282">
              <w:rPr>
                <w:rFonts w:ascii="Times New Roman" w:hAnsi="Times New Roman" w:cs="Times New Roman"/>
                <w:color w:val="000000" w:themeColor="text1"/>
                <w:szCs w:val="24"/>
              </w:rPr>
              <w:t>зона</w:t>
            </w:r>
          </w:p>
        </w:tc>
        <w:tc>
          <w:tcPr>
            <w:tcW w:w="2168" w:type="dxa"/>
          </w:tcPr>
          <w:p w:rsidR="00B84DFC" w:rsidRPr="00256282" w:rsidRDefault="00B84DFC" w:rsidP="00F32A87">
            <w:pPr>
              <w:shd w:val="clear" w:color="auto" w:fill="FFFFFF"/>
              <w:jc w:val="center"/>
              <w:rPr>
                <w:rFonts w:ascii="Times New Roman" w:hAnsi="Times New Roman" w:cs="Times New Roman"/>
                <w:color w:val="000000" w:themeColor="text1"/>
                <w:szCs w:val="24"/>
                <w:lang w:val="sr-Latn-CS"/>
              </w:rPr>
            </w:pPr>
            <w:r w:rsidRPr="00256282">
              <w:rPr>
                <w:rFonts w:ascii="Times New Roman" w:hAnsi="Times New Roman" w:cs="Times New Roman"/>
                <w:color w:val="000000" w:themeColor="text1"/>
                <w:szCs w:val="24"/>
                <w:lang w:val="sr-Cyrl-CS"/>
              </w:rPr>
              <w:t>0,022</w:t>
            </w:r>
          </w:p>
        </w:tc>
      </w:tr>
      <w:tr w:rsidR="00B84DFC" w:rsidRPr="00256282" w:rsidTr="00FF4911">
        <w:trPr>
          <w:trHeight w:val="281"/>
          <w:jc w:val="center"/>
        </w:trPr>
        <w:tc>
          <w:tcPr>
            <w:tcW w:w="2693" w:type="dxa"/>
          </w:tcPr>
          <w:p w:rsidR="00B84DFC" w:rsidRPr="00256282" w:rsidRDefault="00B84DFC" w:rsidP="00F32A87">
            <w:pPr>
              <w:shd w:val="clear" w:color="auto" w:fill="FFFFFF"/>
              <w:rPr>
                <w:rFonts w:ascii="Times New Roman" w:hAnsi="Times New Roman" w:cs="Times New Roman"/>
                <w:color w:val="000000" w:themeColor="text1"/>
                <w:szCs w:val="24"/>
                <w:lang w:val="sr-Cyrl-CS"/>
              </w:rPr>
            </w:pPr>
            <w:r w:rsidRPr="00256282">
              <w:rPr>
                <w:rFonts w:ascii="Times New Roman" w:hAnsi="Times New Roman" w:cs="Times New Roman"/>
                <w:color w:val="000000" w:themeColor="text1"/>
                <w:szCs w:val="24"/>
                <w:lang w:val="sr-Cyrl-CS"/>
              </w:rPr>
              <w:t>Четврта зона</w:t>
            </w:r>
          </w:p>
        </w:tc>
        <w:tc>
          <w:tcPr>
            <w:tcW w:w="2168" w:type="dxa"/>
          </w:tcPr>
          <w:p w:rsidR="00B84DFC" w:rsidRPr="00256282" w:rsidRDefault="00B84DFC" w:rsidP="00F32A87">
            <w:pPr>
              <w:shd w:val="clear" w:color="auto" w:fill="FFFFFF"/>
              <w:jc w:val="center"/>
              <w:rPr>
                <w:rFonts w:ascii="Times New Roman" w:hAnsi="Times New Roman" w:cs="Times New Roman"/>
                <w:color w:val="000000" w:themeColor="text1"/>
                <w:szCs w:val="24"/>
                <w:lang w:val="sr-Latn-CS"/>
              </w:rPr>
            </w:pPr>
            <w:r w:rsidRPr="00256282">
              <w:rPr>
                <w:rFonts w:ascii="Times New Roman" w:hAnsi="Times New Roman" w:cs="Times New Roman"/>
                <w:color w:val="000000" w:themeColor="text1"/>
                <w:szCs w:val="24"/>
                <w:lang w:val="sr-Cyrl-CS"/>
              </w:rPr>
              <w:t>0,011</w:t>
            </w:r>
          </w:p>
        </w:tc>
      </w:tr>
    </w:tbl>
    <w:p w:rsidR="00B84DFC" w:rsidRPr="00256282" w:rsidRDefault="00B84DFC" w:rsidP="00B84DFC">
      <w:pPr>
        <w:shd w:val="clear" w:color="auto" w:fill="FFFFFF"/>
        <w:rPr>
          <w:rFonts w:ascii="Times New Roman" w:hAnsi="Times New Roman" w:cs="Times New Roman"/>
          <w:color w:val="000000" w:themeColor="text1"/>
          <w:szCs w:val="24"/>
          <w:lang w:val="sr-Cyrl-CS"/>
        </w:rPr>
      </w:pPr>
    </w:p>
    <w:p w:rsidR="00305244" w:rsidRPr="00256282" w:rsidRDefault="00305244" w:rsidP="00305244">
      <w:pPr>
        <w:rPr>
          <w:rFonts w:ascii="Times New Roman" w:hAnsi="Times New Roman" w:cs="Times New Roman"/>
          <w:color w:val="000000" w:themeColor="text1"/>
          <w:szCs w:val="24"/>
        </w:rPr>
      </w:pPr>
    </w:p>
    <w:p w:rsidR="00305244" w:rsidRPr="00256282" w:rsidRDefault="00305244" w:rsidP="00305244">
      <w:pPr>
        <w:rPr>
          <w:rFonts w:ascii="Times New Roman" w:hAnsi="Times New Roman" w:cs="Times New Roman"/>
          <w:color w:val="000000" w:themeColor="text1"/>
          <w:szCs w:val="24"/>
        </w:rPr>
      </w:pPr>
      <w:r w:rsidRPr="00256282">
        <w:rPr>
          <w:rFonts w:ascii="Times New Roman" w:hAnsi="Times New Roman" w:cs="Times New Roman"/>
          <w:color w:val="000000" w:themeColor="text1"/>
          <w:szCs w:val="24"/>
        </w:rPr>
        <w:t>Коефицијенти намене одређени у Табели 3.</w:t>
      </w:r>
    </w:p>
    <w:p w:rsidR="00305244" w:rsidRPr="00256282" w:rsidRDefault="00305244" w:rsidP="00305244">
      <w:pPr>
        <w:rPr>
          <w:rFonts w:ascii="Times New Roman" w:hAnsi="Times New Roman" w:cs="Times New Roman"/>
          <w:color w:val="000000" w:themeColor="text1"/>
          <w:szCs w:val="24"/>
        </w:rPr>
      </w:pPr>
    </w:p>
    <w:p w:rsidR="000A7B58" w:rsidRPr="00256282" w:rsidRDefault="00305244" w:rsidP="000A7B58">
      <w:pPr>
        <w:shd w:val="clear" w:color="auto" w:fill="FFFFFF"/>
        <w:ind w:left="360"/>
        <w:jc w:val="both"/>
        <w:rPr>
          <w:rFonts w:ascii="Times New Roman" w:hAnsi="Times New Roman" w:cs="Times New Roman"/>
          <w:b/>
          <w:bCs/>
          <w:color w:val="000000" w:themeColor="text1"/>
          <w:szCs w:val="24"/>
        </w:rPr>
      </w:pPr>
      <w:r w:rsidRPr="00256282">
        <w:rPr>
          <w:rFonts w:ascii="Times New Roman" w:hAnsi="Times New Roman" w:cs="Times New Roman"/>
          <w:color w:val="000000" w:themeColor="text1"/>
          <w:szCs w:val="24"/>
        </w:rPr>
        <w:t>Табела 3.</w:t>
      </w:r>
      <w:r w:rsidR="000A7B58" w:rsidRPr="00256282">
        <w:rPr>
          <w:rFonts w:ascii="Times New Roman" w:hAnsi="Times New Roman" w:cs="Times New Roman"/>
          <w:b/>
          <w:bCs/>
          <w:color w:val="000000" w:themeColor="text1"/>
          <w:szCs w:val="24"/>
        </w:rPr>
        <w:t xml:space="preserve"> Коефицијенти за намену:</w:t>
      </w:r>
    </w:p>
    <w:p w:rsidR="000A7B58" w:rsidRPr="00256282" w:rsidRDefault="000A7B58" w:rsidP="000A7B58">
      <w:pPr>
        <w:shd w:val="clear" w:color="auto" w:fill="FFFFFF"/>
        <w:autoSpaceDE w:val="0"/>
        <w:autoSpaceDN w:val="0"/>
        <w:adjustRightInd w:val="0"/>
        <w:ind w:firstLine="720"/>
        <w:jc w:val="both"/>
        <w:rPr>
          <w:rFonts w:ascii="Times New Roman" w:hAnsi="Times New Roman" w:cs="Times New Roman"/>
          <w:color w:val="000000" w:themeColor="text1"/>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3"/>
        <w:gridCol w:w="2588"/>
      </w:tblGrid>
      <w:tr w:rsidR="00B32038" w:rsidRPr="00B32038" w:rsidTr="00FF4911">
        <w:trPr>
          <w:jc w:val="center"/>
        </w:trPr>
        <w:tc>
          <w:tcPr>
            <w:tcW w:w="2263" w:type="dxa"/>
          </w:tcPr>
          <w:p w:rsidR="000A7B58" w:rsidRPr="00615578" w:rsidRDefault="000A7B58" w:rsidP="00F32A87">
            <w:pPr>
              <w:shd w:val="clear" w:color="auto" w:fill="FFFFFF"/>
              <w:rPr>
                <w:rFonts w:ascii="Times New Roman" w:hAnsi="Times New Roman" w:cs="Times New Roman"/>
                <w:b/>
                <w:szCs w:val="24"/>
              </w:rPr>
            </w:pPr>
            <w:r w:rsidRPr="00615578">
              <w:rPr>
                <w:rFonts w:ascii="Times New Roman" w:hAnsi="Times New Roman" w:cs="Times New Roman"/>
                <w:b/>
                <w:szCs w:val="24"/>
              </w:rPr>
              <w:t>Намена објекта</w:t>
            </w:r>
          </w:p>
        </w:tc>
        <w:tc>
          <w:tcPr>
            <w:tcW w:w="2588" w:type="dxa"/>
          </w:tcPr>
          <w:p w:rsidR="000A7B58" w:rsidRPr="00615578" w:rsidRDefault="000A7B58" w:rsidP="00F32A87">
            <w:pPr>
              <w:shd w:val="clear" w:color="auto" w:fill="FFFFFF"/>
              <w:rPr>
                <w:rFonts w:ascii="Times New Roman" w:hAnsi="Times New Roman" w:cs="Times New Roman"/>
                <w:b/>
                <w:szCs w:val="24"/>
              </w:rPr>
            </w:pPr>
            <w:r w:rsidRPr="00615578">
              <w:rPr>
                <w:rFonts w:ascii="Times New Roman" w:hAnsi="Times New Roman" w:cs="Times New Roman"/>
                <w:b/>
                <w:szCs w:val="24"/>
              </w:rPr>
              <w:t>Коефицијент намене</w:t>
            </w:r>
          </w:p>
        </w:tc>
      </w:tr>
      <w:tr w:rsidR="00B32038" w:rsidRPr="00B32038" w:rsidTr="00FF4911">
        <w:trPr>
          <w:trHeight w:val="281"/>
          <w:jc w:val="center"/>
        </w:trPr>
        <w:tc>
          <w:tcPr>
            <w:tcW w:w="2263" w:type="dxa"/>
          </w:tcPr>
          <w:p w:rsidR="000A7B58" w:rsidRPr="00615578" w:rsidRDefault="00FF4911" w:rsidP="00F32A87">
            <w:pPr>
              <w:shd w:val="clear" w:color="auto" w:fill="FFFFFF"/>
              <w:rPr>
                <w:rFonts w:ascii="Times New Roman" w:hAnsi="Times New Roman" w:cs="Times New Roman"/>
                <w:szCs w:val="24"/>
              </w:rPr>
            </w:pPr>
            <w:r w:rsidRPr="00615578">
              <w:rPr>
                <w:rFonts w:ascii="Times New Roman" w:hAnsi="Times New Roman" w:cs="Times New Roman"/>
                <w:szCs w:val="24"/>
                <w:lang w:val="sr-Latn-CS"/>
              </w:rPr>
              <w:t>Становање</w:t>
            </w:r>
          </w:p>
        </w:tc>
        <w:tc>
          <w:tcPr>
            <w:tcW w:w="2588" w:type="dxa"/>
          </w:tcPr>
          <w:p w:rsidR="000A7B58" w:rsidRPr="00615578" w:rsidRDefault="00E233C3" w:rsidP="00F32A87">
            <w:pPr>
              <w:shd w:val="clear" w:color="auto" w:fill="FFFFFF"/>
              <w:jc w:val="center"/>
              <w:rPr>
                <w:rFonts w:ascii="Times New Roman" w:hAnsi="Times New Roman" w:cs="Times New Roman"/>
                <w:szCs w:val="24"/>
                <w:lang w:val="sr-Latn-CS"/>
              </w:rPr>
            </w:pPr>
            <w:r w:rsidRPr="00615578">
              <w:rPr>
                <w:rFonts w:ascii="Times New Roman" w:hAnsi="Times New Roman" w:cs="Times New Roman"/>
                <w:szCs w:val="24"/>
                <w:lang w:val="sr-Cyrl-CS"/>
              </w:rPr>
              <w:t>0,</w:t>
            </w:r>
            <w:r w:rsidR="000623D7" w:rsidRPr="00615578">
              <w:rPr>
                <w:rFonts w:ascii="Times New Roman" w:hAnsi="Times New Roman" w:cs="Times New Roman"/>
                <w:szCs w:val="24"/>
                <w:lang w:val="sr-Cyrl-CS"/>
              </w:rPr>
              <w:t>2</w:t>
            </w:r>
            <w:r w:rsidR="004409E8" w:rsidRPr="00615578">
              <w:rPr>
                <w:rFonts w:ascii="Times New Roman" w:hAnsi="Times New Roman" w:cs="Times New Roman"/>
                <w:szCs w:val="24"/>
                <w:lang w:val="sr-Cyrl-CS"/>
              </w:rPr>
              <w:t>6</w:t>
            </w:r>
          </w:p>
        </w:tc>
      </w:tr>
      <w:tr w:rsidR="00B32038" w:rsidRPr="00B32038" w:rsidTr="00FF4911">
        <w:trPr>
          <w:trHeight w:val="281"/>
          <w:jc w:val="center"/>
        </w:trPr>
        <w:tc>
          <w:tcPr>
            <w:tcW w:w="2263" w:type="dxa"/>
          </w:tcPr>
          <w:p w:rsidR="000A7B58" w:rsidRPr="00615578" w:rsidRDefault="00FF4911" w:rsidP="00F32A87">
            <w:pPr>
              <w:shd w:val="clear" w:color="auto" w:fill="FFFFFF"/>
              <w:rPr>
                <w:rFonts w:ascii="Times New Roman" w:hAnsi="Times New Roman" w:cs="Times New Roman"/>
                <w:szCs w:val="24"/>
              </w:rPr>
            </w:pPr>
            <w:r w:rsidRPr="00615578">
              <w:rPr>
                <w:rFonts w:ascii="Times New Roman" w:hAnsi="Times New Roman" w:cs="Times New Roman"/>
                <w:szCs w:val="24"/>
              </w:rPr>
              <w:t>Пословање</w:t>
            </w:r>
          </w:p>
        </w:tc>
        <w:tc>
          <w:tcPr>
            <w:tcW w:w="2588" w:type="dxa"/>
          </w:tcPr>
          <w:p w:rsidR="000A7B58" w:rsidRPr="00615578" w:rsidRDefault="000A7B58" w:rsidP="00F32A87">
            <w:pPr>
              <w:shd w:val="clear" w:color="auto" w:fill="FFFFFF"/>
              <w:jc w:val="center"/>
              <w:rPr>
                <w:rFonts w:ascii="Times New Roman" w:hAnsi="Times New Roman" w:cs="Times New Roman"/>
                <w:szCs w:val="24"/>
                <w:lang w:val="sr-Cyrl-CS"/>
              </w:rPr>
            </w:pPr>
            <w:r w:rsidRPr="00615578">
              <w:rPr>
                <w:rFonts w:ascii="Times New Roman" w:hAnsi="Times New Roman" w:cs="Times New Roman"/>
                <w:szCs w:val="24"/>
                <w:lang w:val="sr-Cyrl-CS"/>
              </w:rPr>
              <w:t>0,</w:t>
            </w:r>
            <w:r w:rsidR="004409E8" w:rsidRPr="00615578">
              <w:rPr>
                <w:rFonts w:ascii="Times New Roman" w:hAnsi="Times New Roman" w:cs="Times New Roman"/>
                <w:szCs w:val="24"/>
                <w:lang w:val="sr-Cyrl-CS"/>
              </w:rPr>
              <w:t>90</w:t>
            </w:r>
          </w:p>
        </w:tc>
      </w:tr>
      <w:tr w:rsidR="00B32038" w:rsidRPr="00B32038" w:rsidTr="00FF4911">
        <w:trPr>
          <w:trHeight w:val="281"/>
          <w:jc w:val="center"/>
        </w:trPr>
        <w:tc>
          <w:tcPr>
            <w:tcW w:w="2263" w:type="dxa"/>
          </w:tcPr>
          <w:p w:rsidR="000A7B58" w:rsidRPr="00615578" w:rsidRDefault="000A7B58" w:rsidP="00F32A87">
            <w:pPr>
              <w:shd w:val="clear" w:color="auto" w:fill="FFFFFF"/>
              <w:rPr>
                <w:rFonts w:ascii="Times New Roman" w:hAnsi="Times New Roman" w:cs="Times New Roman"/>
                <w:szCs w:val="24"/>
              </w:rPr>
            </w:pPr>
            <w:r w:rsidRPr="00615578">
              <w:rPr>
                <w:rFonts w:ascii="Times New Roman" w:hAnsi="Times New Roman" w:cs="Times New Roman"/>
                <w:szCs w:val="24"/>
                <w:lang w:val="sr-Latn-CS"/>
              </w:rPr>
              <w:t>О</w:t>
            </w:r>
            <w:r w:rsidR="00FF4911" w:rsidRPr="00615578">
              <w:rPr>
                <w:rFonts w:ascii="Times New Roman" w:hAnsi="Times New Roman" w:cs="Times New Roman"/>
                <w:szCs w:val="24"/>
              </w:rPr>
              <w:t>бјекти о</w:t>
            </w:r>
            <w:r w:rsidR="00FF4911" w:rsidRPr="00615578">
              <w:rPr>
                <w:rFonts w:ascii="Times New Roman" w:hAnsi="Times New Roman" w:cs="Times New Roman"/>
                <w:szCs w:val="24"/>
                <w:lang w:val="sr-Latn-CS"/>
              </w:rPr>
              <w:t>стале намене</w:t>
            </w:r>
          </w:p>
        </w:tc>
        <w:tc>
          <w:tcPr>
            <w:tcW w:w="2588" w:type="dxa"/>
          </w:tcPr>
          <w:p w:rsidR="000A7B58" w:rsidRPr="00615578" w:rsidRDefault="000A7B58" w:rsidP="00F32A87">
            <w:pPr>
              <w:shd w:val="clear" w:color="auto" w:fill="FFFFFF"/>
              <w:jc w:val="center"/>
              <w:rPr>
                <w:rFonts w:ascii="Times New Roman" w:hAnsi="Times New Roman" w:cs="Times New Roman"/>
                <w:szCs w:val="24"/>
                <w:lang w:val="sr-Latn-CS"/>
              </w:rPr>
            </w:pPr>
            <w:r w:rsidRPr="00615578">
              <w:rPr>
                <w:rFonts w:ascii="Times New Roman" w:hAnsi="Times New Roman" w:cs="Times New Roman"/>
                <w:szCs w:val="24"/>
                <w:lang w:val="sr-Cyrl-CS"/>
              </w:rPr>
              <w:t>0,1</w:t>
            </w:r>
            <w:r w:rsidR="004409E8" w:rsidRPr="00615578">
              <w:rPr>
                <w:rFonts w:ascii="Times New Roman" w:hAnsi="Times New Roman" w:cs="Times New Roman"/>
                <w:szCs w:val="24"/>
                <w:lang w:val="sr-Cyrl-CS"/>
              </w:rPr>
              <w:t>2</w:t>
            </w:r>
          </w:p>
        </w:tc>
      </w:tr>
      <w:tr w:rsidR="00B32038" w:rsidRPr="00B32038" w:rsidTr="00FF4911">
        <w:trPr>
          <w:trHeight w:val="281"/>
          <w:jc w:val="center"/>
        </w:trPr>
        <w:tc>
          <w:tcPr>
            <w:tcW w:w="2263" w:type="dxa"/>
          </w:tcPr>
          <w:p w:rsidR="000A7B58" w:rsidRPr="00615578" w:rsidRDefault="00FF4911" w:rsidP="00F32A87">
            <w:pPr>
              <w:shd w:val="clear" w:color="auto" w:fill="FFFFFF"/>
              <w:rPr>
                <w:rFonts w:ascii="Times New Roman" w:hAnsi="Times New Roman" w:cs="Times New Roman"/>
                <w:szCs w:val="24"/>
                <w:lang w:val="sr-Cyrl-CS"/>
              </w:rPr>
            </w:pPr>
            <w:r w:rsidRPr="00615578">
              <w:rPr>
                <w:rFonts w:ascii="Times New Roman" w:hAnsi="Times New Roman" w:cs="Times New Roman"/>
                <w:szCs w:val="24"/>
                <w:lang w:val="sr-Cyrl-CS"/>
              </w:rPr>
              <w:t>Објекти јавне намене у др.облицима својине</w:t>
            </w:r>
          </w:p>
        </w:tc>
        <w:tc>
          <w:tcPr>
            <w:tcW w:w="2588" w:type="dxa"/>
          </w:tcPr>
          <w:p w:rsidR="000A7B58" w:rsidRPr="00615578" w:rsidRDefault="004409E8" w:rsidP="00F32A87">
            <w:pPr>
              <w:shd w:val="clear" w:color="auto" w:fill="FFFFFF"/>
              <w:jc w:val="center"/>
              <w:rPr>
                <w:rFonts w:ascii="Times New Roman" w:hAnsi="Times New Roman" w:cs="Times New Roman"/>
                <w:szCs w:val="24"/>
                <w:lang w:val="sr-Latn-CS"/>
              </w:rPr>
            </w:pPr>
            <w:r w:rsidRPr="00615578">
              <w:rPr>
                <w:rFonts w:ascii="Times New Roman" w:hAnsi="Times New Roman" w:cs="Times New Roman"/>
                <w:szCs w:val="24"/>
                <w:lang w:val="sr-Cyrl-CS"/>
              </w:rPr>
              <w:t>0,08</w:t>
            </w:r>
          </w:p>
        </w:tc>
      </w:tr>
    </w:tbl>
    <w:p w:rsidR="00305244" w:rsidRPr="00256282" w:rsidRDefault="00305244" w:rsidP="00305244">
      <w:pPr>
        <w:rPr>
          <w:rFonts w:ascii="Times New Roman" w:hAnsi="Times New Roman" w:cs="Times New Roman"/>
          <w:color w:val="000000" w:themeColor="text1"/>
          <w:szCs w:val="24"/>
        </w:rPr>
      </w:pPr>
    </w:p>
    <w:p w:rsidR="00305244" w:rsidRPr="00256282" w:rsidRDefault="00305244" w:rsidP="00305244">
      <w:pPr>
        <w:rPr>
          <w:rFonts w:ascii="Times New Roman" w:hAnsi="Times New Roman" w:cs="Times New Roman"/>
          <w:color w:val="000000" w:themeColor="text1"/>
          <w:szCs w:val="24"/>
        </w:rPr>
      </w:pPr>
    </w:p>
    <w:p w:rsidR="00305244" w:rsidRPr="00256282" w:rsidRDefault="00305244" w:rsidP="007A2547">
      <w:pPr>
        <w:ind w:firstLine="720"/>
        <w:rPr>
          <w:rFonts w:ascii="Times New Roman" w:hAnsi="Times New Roman" w:cs="Times New Roman"/>
          <w:color w:val="000000" w:themeColor="text1"/>
          <w:szCs w:val="24"/>
        </w:rPr>
      </w:pPr>
      <w:r w:rsidRPr="00256282">
        <w:rPr>
          <w:rFonts w:ascii="Times New Roman" w:hAnsi="Times New Roman" w:cs="Times New Roman"/>
          <w:color w:val="000000" w:themeColor="text1"/>
          <w:szCs w:val="24"/>
        </w:rPr>
        <w:t>Коефицијенте зоне и</w:t>
      </w:r>
      <w:r w:rsidR="00FF4911" w:rsidRPr="00256282">
        <w:rPr>
          <w:rFonts w:ascii="Times New Roman" w:hAnsi="Times New Roman" w:cs="Times New Roman"/>
          <w:color w:val="000000" w:themeColor="text1"/>
          <w:szCs w:val="24"/>
        </w:rPr>
        <w:t xml:space="preserve"> намене утврђује Скупштина општине Рача</w:t>
      </w:r>
      <w:r w:rsidRPr="00256282">
        <w:rPr>
          <w:rFonts w:ascii="Times New Roman" w:hAnsi="Times New Roman" w:cs="Times New Roman"/>
          <w:color w:val="000000" w:themeColor="text1"/>
          <w:szCs w:val="24"/>
        </w:rPr>
        <w:t xml:space="preserve"> најкасније до 30. новембра текуће године.</w:t>
      </w:r>
    </w:p>
    <w:p w:rsidR="00305244" w:rsidRDefault="00305244" w:rsidP="00305244">
      <w:pPr>
        <w:rPr>
          <w:rFonts w:ascii="Times New Roman" w:hAnsi="Times New Roman" w:cs="Times New Roman"/>
          <w:color w:val="FF0000"/>
          <w:szCs w:val="24"/>
        </w:rPr>
      </w:pPr>
    </w:p>
    <w:p w:rsidR="00415F6D" w:rsidRDefault="00415F6D" w:rsidP="00305244">
      <w:pPr>
        <w:rPr>
          <w:rFonts w:ascii="Times New Roman" w:hAnsi="Times New Roman" w:cs="Times New Roman"/>
          <w:color w:val="FF0000"/>
          <w:szCs w:val="24"/>
        </w:rPr>
      </w:pPr>
    </w:p>
    <w:p w:rsidR="00415F6D" w:rsidRDefault="00415F6D" w:rsidP="00305244">
      <w:pPr>
        <w:rPr>
          <w:rFonts w:ascii="Times New Roman" w:hAnsi="Times New Roman" w:cs="Times New Roman"/>
          <w:color w:val="FF0000"/>
          <w:szCs w:val="24"/>
        </w:rPr>
      </w:pPr>
    </w:p>
    <w:p w:rsidR="00415F6D" w:rsidRPr="00415F6D" w:rsidRDefault="00415F6D" w:rsidP="00305244">
      <w:pPr>
        <w:rPr>
          <w:rFonts w:ascii="Times New Roman" w:hAnsi="Times New Roman" w:cs="Times New Roman"/>
          <w:color w:val="FF0000"/>
          <w:szCs w:val="24"/>
        </w:rPr>
      </w:pPr>
    </w:p>
    <w:p w:rsidR="00305244" w:rsidRPr="00194BC0" w:rsidRDefault="00305244" w:rsidP="000A7B58">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4. Посебна умањења за недостајућу инфраструктуру</w:t>
      </w:r>
    </w:p>
    <w:p w:rsidR="00305244" w:rsidRPr="00194BC0" w:rsidRDefault="00305244" w:rsidP="000A7B58">
      <w:pPr>
        <w:jc w:val="center"/>
        <w:rPr>
          <w:rFonts w:ascii="Times New Roman" w:hAnsi="Times New Roman" w:cs="Times New Roman"/>
          <w:b/>
          <w:color w:val="000000" w:themeColor="text1"/>
          <w:szCs w:val="24"/>
        </w:rPr>
      </w:pPr>
    </w:p>
    <w:p w:rsidR="00305244" w:rsidRPr="00194BC0" w:rsidRDefault="00305244" w:rsidP="000A7B58">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10</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E90497">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Уколико је локацијским условима</w:t>
      </w:r>
      <w:r w:rsidR="00E90497" w:rsidRPr="00194BC0">
        <w:rPr>
          <w:rFonts w:ascii="Times New Roman" w:hAnsi="Times New Roman" w:cs="Times New Roman"/>
          <w:color w:val="000000" w:themeColor="text1"/>
          <w:szCs w:val="24"/>
        </w:rPr>
        <w:t>, израђенимпрема подацима добијеним од Јавног комуналног предузећа „Рача“ из Рачеи Јавног предузећа за управљање и развој инфраструктурних објеката, из Раче,</w:t>
      </w:r>
      <w:r w:rsidRPr="00194BC0">
        <w:rPr>
          <w:rFonts w:ascii="Times New Roman" w:hAnsi="Times New Roman" w:cs="Times New Roman"/>
          <w:color w:val="000000" w:themeColor="text1"/>
          <w:szCs w:val="24"/>
        </w:rPr>
        <w:t>утврђено да земљиште на коме се гради објекат није потпуно опремљено комуналном инфраструктуром, а која не представља неопходан услов за функционисање објекта који се гради, износ обрачунатог доприноса за уређивање грађевинског земљишта умањује се за одређени проценат, прописан у Табели 4.</w:t>
      </w:r>
    </w:p>
    <w:p w:rsidR="007A2547" w:rsidRPr="00194BC0" w:rsidRDefault="007A2547" w:rsidP="007A2547">
      <w:pPr>
        <w:ind w:firstLine="720"/>
        <w:rPr>
          <w:rFonts w:ascii="Times New Roman" w:hAnsi="Times New Roman" w:cs="Times New Roman"/>
          <w:color w:val="000000" w:themeColor="text1"/>
          <w:szCs w:val="24"/>
        </w:rPr>
      </w:pPr>
    </w:p>
    <w:p w:rsidR="00305244" w:rsidRPr="00194BC0" w:rsidRDefault="00305244" w:rsidP="007A2547">
      <w:pPr>
        <w:ind w:firstLine="720"/>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Табела 4</w:t>
      </w:r>
    </w:p>
    <w:p w:rsidR="00305244" w:rsidRPr="00194BC0" w:rsidRDefault="00305244" w:rsidP="00305244">
      <w:pPr>
        <w:rPr>
          <w:rFonts w:ascii="Times New Roman" w:hAnsi="Times New Roman" w:cs="Times New Roman"/>
          <w:color w:val="000000" w:themeColor="text1"/>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2"/>
        <w:gridCol w:w="2588"/>
      </w:tblGrid>
      <w:tr w:rsidR="00870B78" w:rsidRPr="00194BC0" w:rsidTr="00870B78">
        <w:trPr>
          <w:jc w:val="center"/>
        </w:trPr>
        <w:tc>
          <w:tcPr>
            <w:tcW w:w="4962" w:type="dxa"/>
          </w:tcPr>
          <w:p w:rsidR="00870B78" w:rsidRPr="00194BC0" w:rsidRDefault="00870B78" w:rsidP="00870B78">
            <w:pP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Недостајућа комуналнаинфраструктура</w:t>
            </w:r>
          </w:p>
        </w:tc>
        <w:tc>
          <w:tcPr>
            <w:tcW w:w="2588" w:type="dxa"/>
          </w:tcPr>
          <w:p w:rsidR="00870B78" w:rsidRPr="00194BC0" w:rsidRDefault="00870B78" w:rsidP="00870B78">
            <w:pP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Проценатумањења</w:t>
            </w:r>
          </w:p>
        </w:tc>
      </w:tr>
      <w:tr w:rsidR="00870B78" w:rsidRPr="00194BC0" w:rsidTr="00870B78">
        <w:trPr>
          <w:trHeight w:val="281"/>
          <w:jc w:val="center"/>
        </w:trPr>
        <w:tc>
          <w:tcPr>
            <w:tcW w:w="4962" w:type="dxa"/>
          </w:tcPr>
          <w:p w:rsidR="00870B78" w:rsidRPr="00194BC0" w:rsidRDefault="00870B78" w:rsidP="00870B78">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xml:space="preserve"> Приступни пут</w:t>
            </w:r>
          </w:p>
          <w:p w:rsidR="00870B78" w:rsidRPr="00194BC0" w:rsidRDefault="00870B78" w:rsidP="00870B78">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(асфалт,макадам)</w:t>
            </w:r>
          </w:p>
          <w:p w:rsidR="00870B78" w:rsidRPr="00194BC0" w:rsidRDefault="00870B78" w:rsidP="00F32A87">
            <w:pPr>
              <w:shd w:val="clear" w:color="auto" w:fill="FFFFFF"/>
              <w:rPr>
                <w:rFonts w:ascii="Times New Roman" w:hAnsi="Times New Roman" w:cs="Times New Roman"/>
                <w:color w:val="000000" w:themeColor="text1"/>
                <w:szCs w:val="24"/>
              </w:rPr>
            </w:pPr>
          </w:p>
        </w:tc>
        <w:tc>
          <w:tcPr>
            <w:tcW w:w="2588" w:type="dxa"/>
          </w:tcPr>
          <w:p w:rsidR="00870B78" w:rsidRPr="00194BC0" w:rsidRDefault="00870B78" w:rsidP="00F32A87">
            <w:pPr>
              <w:shd w:val="clear" w:color="auto" w:fill="FFFFFF"/>
              <w:jc w:val="center"/>
              <w:rPr>
                <w:rFonts w:ascii="Times New Roman" w:hAnsi="Times New Roman" w:cs="Times New Roman"/>
                <w:color w:val="000000" w:themeColor="text1"/>
                <w:szCs w:val="24"/>
                <w:lang w:val="sr-Latn-CS"/>
              </w:rPr>
            </w:pPr>
            <w:r w:rsidRPr="00194BC0">
              <w:rPr>
                <w:rFonts w:ascii="Times New Roman" w:hAnsi="Times New Roman" w:cs="Times New Roman"/>
                <w:color w:val="000000" w:themeColor="text1"/>
                <w:szCs w:val="24"/>
                <w:lang w:val="sr-Cyrl-CS"/>
              </w:rPr>
              <w:t>10</w:t>
            </w:r>
          </w:p>
        </w:tc>
      </w:tr>
      <w:tr w:rsidR="00870B78" w:rsidRPr="00194BC0" w:rsidTr="00870B78">
        <w:trPr>
          <w:trHeight w:val="281"/>
          <w:jc w:val="center"/>
        </w:trPr>
        <w:tc>
          <w:tcPr>
            <w:tcW w:w="4962" w:type="dxa"/>
          </w:tcPr>
          <w:p w:rsidR="00870B78" w:rsidRPr="00194BC0" w:rsidRDefault="00870B78" w:rsidP="00F32A87">
            <w:pPr>
              <w:shd w:val="clear" w:color="auto" w:fill="FFFFFF"/>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Канализациона мрежа</w:t>
            </w:r>
          </w:p>
        </w:tc>
        <w:tc>
          <w:tcPr>
            <w:tcW w:w="2588" w:type="dxa"/>
          </w:tcPr>
          <w:p w:rsidR="00870B78" w:rsidRPr="00194BC0" w:rsidRDefault="00870B78" w:rsidP="00F32A87">
            <w:pPr>
              <w:shd w:val="clear" w:color="auto" w:fill="FFFFFF"/>
              <w:jc w:val="center"/>
              <w:rPr>
                <w:rFonts w:ascii="Times New Roman" w:hAnsi="Times New Roman" w:cs="Times New Roman"/>
                <w:color w:val="000000" w:themeColor="text1"/>
                <w:szCs w:val="24"/>
                <w:lang w:val="sr-Cyrl-CS"/>
              </w:rPr>
            </w:pPr>
            <w:r w:rsidRPr="00194BC0">
              <w:rPr>
                <w:rFonts w:ascii="Times New Roman" w:hAnsi="Times New Roman" w:cs="Times New Roman"/>
                <w:color w:val="000000" w:themeColor="text1"/>
                <w:szCs w:val="24"/>
                <w:lang w:val="sr-Cyrl-CS"/>
              </w:rPr>
              <w:t>12</w:t>
            </w:r>
          </w:p>
        </w:tc>
      </w:tr>
      <w:tr w:rsidR="00870B78" w:rsidRPr="00194BC0" w:rsidTr="00870B78">
        <w:trPr>
          <w:trHeight w:val="281"/>
          <w:jc w:val="center"/>
        </w:trPr>
        <w:tc>
          <w:tcPr>
            <w:tcW w:w="4962" w:type="dxa"/>
          </w:tcPr>
          <w:p w:rsidR="00870B78" w:rsidRPr="00194BC0" w:rsidRDefault="00870B78" w:rsidP="00F32A87">
            <w:pPr>
              <w:shd w:val="clear" w:color="auto" w:fill="FFFFFF"/>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Водоводна мрежа</w:t>
            </w:r>
          </w:p>
        </w:tc>
        <w:tc>
          <w:tcPr>
            <w:tcW w:w="2588" w:type="dxa"/>
          </w:tcPr>
          <w:p w:rsidR="00870B78" w:rsidRPr="00194BC0" w:rsidRDefault="00870B78" w:rsidP="00F32A87">
            <w:pPr>
              <w:shd w:val="clear" w:color="auto" w:fill="FFFFFF"/>
              <w:jc w:val="center"/>
              <w:rPr>
                <w:rFonts w:ascii="Times New Roman" w:hAnsi="Times New Roman" w:cs="Times New Roman"/>
                <w:color w:val="000000" w:themeColor="text1"/>
                <w:szCs w:val="24"/>
                <w:lang w:val="sr-Latn-CS"/>
              </w:rPr>
            </w:pPr>
            <w:r w:rsidRPr="00194BC0">
              <w:rPr>
                <w:rFonts w:ascii="Times New Roman" w:hAnsi="Times New Roman" w:cs="Times New Roman"/>
                <w:color w:val="000000" w:themeColor="text1"/>
                <w:szCs w:val="24"/>
                <w:lang w:val="sr-Cyrl-CS"/>
              </w:rPr>
              <w:t>12</w:t>
            </w:r>
          </w:p>
        </w:tc>
      </w:tr>
      <w:tr w:rsidR="00870B78" w:rsidRPr="00194BC0" w:rsidTr="00870B78">
        <w:trPr>
          <w:trHeight w:val="281"/>
          <w:jc w:val="center"/>
        </w:trPr>
        <w:tc>
          <w:tcPr>
            <w:tcW w:w="4962" w:type="dxa"/>
          </w:tcPr>
          <w:p w:rsidR="00870B78" w:rsidRPr="00194BC0" w:rsidRDefault="00870B78" w:rsidP="00870B78">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xml:space="preserve">Јавна расвета </w:t>
            </w:r>
          </w:p>
          <w:p w:rsidR="00870B78" w:rsidRPr="00194BC0" w:rsidRDefault="00870B78" w:rsidP="00F32A87">
            <w:pPr>
              <w:shd w:val="clear" w:color="auto" w:fill="FFFFFF"/>
              <w:rPr>
                <w:rFonts w:ascii="Times New Roman" w:hAnsi="Times New Roman" w:cs="Times New Roman"/>
                <w:color w:val="000000" w:themeColor="text1"/>
                <w:szCs w:val="24"/>
                <w:lang w:val="sr-Cyrl-CS"/>
              </w:rPr>
            </w:pPr>
          </w:p>
        </w:tc>
        <w:tc>
          <w:tcPr>
            <w:tcW w:w="2588" w:type="dxa"/>
          </w:tcPr>
          <w:p w:rsidR="00870B78" w:rsidRPr="00194BC0" w:rsidRDefault="00870B78" w:rsidP="00F32A87">
            <w:pPr>
              <w:shd w:val="clear" w:color="auto" w:fill="FFFFFF"/>
              <w:jc w:val="center"/>
              <w:rPr>
                <w:rFonts w:ascii="Times New Roman" w:hAnsi="Times New Roman" w:cs="Times New Roman"/>
                <w:color w:val="000000" w:themeColor="text1"/>
                <w:szCs w:val="24"/>
                <w:lang w:val="sr-Latn-CS"/>
              </w:rPr>
            </w:pPr>
            <w:r w:rsidRPr="00194BC0">
              <w:rPr>
                <w:rFonts w:ascii="Times New Roman" w:hAnsi="Times New Roman" w:cs="Times New Roman"/>
                <w:color w:val="000000" w:themeColor="text1"/>
                <w:szCs w:val="24"/>
                <w:lang w:val="sr-Cyrl-CS"/>
              </w:rPr>
              <w:t>6</w:t>
            </w:r>
          </w:p>
        </w:tc>
      </w:tr>
    </w:tbl>
    <w:p w:rsidR="00415F6D" w:rsidRDefault="00415F6D" w:rsidP="00E90497">
      <w:pPr>
        <w:shd w:val="clear" w:color="auto" w:fill="FFFFFF"/>
        <w:ind w:firstLine="720"/>
        <w:jc w:val="both"/>
        <w:rPr>
          <w:rFonts w:ascii="Times New Roman" w:hAnsi="Times New Roman" w:cs="Times New Roman"/>
          <w:color w:val="000000" w:themeColor="text1"/>
          <w:szCs w:val="24"/>
          <w:lang w:val="sr-Cyrl-CS"/>
        </w:rPr>
      </w:pPr>
    </w:p>
    <w:p w:rsidR="00E90497" w:rsidRPr="00194BC0" w:rsidRDefault="00E90497" w:rsidP="00E90497">
      <w:pPr>
        <w:shd w:val="clear" w:color="auto" w:fill="FFFFFF"/>
        <w:ind w:firstLine="720"/>
        <w:jc w:val="both"/>
        <w:rPr>
          <w:rFonts w:ascii="Times New Roman" w:eastAsia="Times New Roman" w:hAnsi="Times New Roman" w:cs="Times New Roman"/>
          <w:bCs/>
          <w:color w:val="000000" w:themeColor="text1"/>
          <w:szCs w:val="24"/>
          <w:lang w:val="ru-RU"/>
        </w:rPr>
      </w:pPr>
      <w:r w:rsidRPr="00194BC0">
        <w:rPr>
          <w:rFonts w:ascii="Times New Roman" w:hAnsi="Times New Roman" w:cs="Times New Roman"/>
          <w:color w:val="000000" w:themeColor="text1"/>
          <w:szCs w:val="24"/>
          <w:lang w:val="sr-Cyrl-CS"/>
        </w:rPr>
        <w:t>Коефицијенти комуналне опремљености: У случају опремљености грађевинског земљишта приступним путем, канализационо</w:t>
      </w:r>
      <w:r w:rsidR="00DD2091" w:rsidRPr="00194BC0">
        <w:rPr>
          <w:rFonts w:ascii="Times New Roman" w:hAnsi="Times New Roman" w:cs="Times New Roman"/>
          <w:color w:val="000000" w:themeColor="text1"/>
          <w:szCs w:val="24"/>
          <w:lang w:val="sr-Cyrl-CS"/>
        </w:rPr>
        <w:t>м и водоводном мрежом</w:t>
      </w:r>
      <w:r w:rsidRPr="00194BC0">
        <w:rPr>
          <w:rFonts w:ascii="Times New Roman" w:hAnsi="Times New Roman" w:cs="Times New Roman"/>
          <w:color w:val="000000" w:themeColor="text1"/>
          <w:szCs w:val="24"/>
          <w:lang w:val="sr-Cyrl-CS"/>
        </w:rPr>
        <w:t xml:space="preserve"> и јавном расветом, коефицијент комуналне опремљености је 1.</w:t>
      </w:r>
    </w:p>
    <w:p w:rsidR="00DD2091" w:rsidRPr="00194BC0" w:rsidRDefault="00DD2091" w:rsidP="00DD2091">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Проценат умањења по основу недостајуће комуналне инфраструктуре не може битивећи од 40% у односу на коефицијент потпуне комуналне опремљености.</w:t>
      </w:r>
    </w:p>
    <w:p w:rsidR="00E90497" w:rsidRPr="00194BC0" w:rsidRDefault="00E90497" w:rsidP="00E90497">
      <w:pPr>
        <w:shd w:val="clear" w:color="auto" w:fill="FFFFFF"/>
        <w:ind w:firstLine="720"/>
        <w:jc w:val="both"/>
        <w:rPr>
          <w:rFonts w:ascii="Times New Roman" w:eastAsia="Times New Roman" w:hAnsi="Times New Roman" w:cs="Times New Roman"/>
          <w:bCs/>
          <w:color w:val="000000" w:themeColor="text1"/>
          <w:szCs w:val="24"/>
          <w:lang w:val="ru-RU"/>
        </w:rPr>
      </w:pP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7A2547">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Уколико је локацијским условима утврђено да земљиште на коме се гради објекат није потпуно опремљено комуналном инфраструктуром, а која представља неопходан услов за функционисање објекта који се гради, инвеститор је дужан да уз захтев за издавање грађевинске дозволе, сагласно одредбама Закона о планирању и изградњи, достави уговор закључен са одговарајућим имаоцем јавног овлашћења којим се утврђују обавезе уговорних страна да, најкасније до истека рока за завршетак радова на објекту за који се тражи грађевинска дозвола, изграде инфраструктуру потребну за прикључење тог објекта на комуналну или другу инфраструктуру, при чему ће се за износ који инвеститор уложи у изградњу недостајуће комуналне инфраструктуре умањити износ обрачунатог доприноса за уређивање грађевинског земљишта.</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7A2547">
      <w:pPr>
        <w:ind w:firstLine="720"/>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 xml:space="preserve">Под недостајућом инфраструктуром из става 2. овог члана, подразумева се: водоводна линија, линија фекалне канализације, </w:t>
      </w:r>
      <w:r w:rsidR="007A2547" w:rsidRPr="00194BC0">
        <w:rPr>
          <w:rFonts w:ascii="Times New Roman" w:hAnsi="Times New Roman" w:cs="Times New Roman"/>
          <w:color w:val="000000" w:themeColor="text1"/>
          <w:szCs w:val="24"/>
        </w:rPr>
        <w:t>приступни пут</w:t>
      </w:r>
      <w:r w:rsidR="0032422B" w:rsidRPr="00194BC0">
        <w:rPr>
          <w:rFonts w:ascii="Times New Roman" w:hAnsi="Times New Roman" w:cs="Times New Roman"/>
          <w:color w:val="000000" w:themeColor="text1"/>
          <w:szCs w:val="24"/>
        </w:rPr>
        <w:t>, јавно</w:t>
      </w:r>
      <w:r w:rsidR="007A2547" w:rsidRPr="00194BC0">
        <w:rPr>
          <w:rFonts w:ascii="Times New Roman" w:hAnsi="Times New Roman" w:cs="Times New Roman"/>
          <w:color w:val="000000" w:themeColor="text1"/>
          <w:szCs w:val="24"/>
        </w:rPr>
        <w:t>осветљење</w:t>
      </w:r>
      <w:r w:rsidRPr="00194BC0">
        <w:rPr>
          <w:rFonts w:ascii="Times New Roman" w:hAnsi="Times New Roman" w:cs="Times New Roman"/>
          <w:color w:val="000000" w:themeColor="text1"/>
          <w:szCs w:val="24"/>
        </w:rPr>
        <w:t>.</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E90497">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t>Члан 11</w:t>
      </w:r>
    </w:p>
    <w:p w:rsidR="00305244" w:rsidRPr="00194BC0" w:rsidRDefault="00305244" w:rsidP="00305244">
      <w:pPr>
        <w:rPr>
          <w:rFonts w:ascii="Times New Roman" w:hAnsi="Times New Roman" w:cs="Times New Roman"/>
          <w:b/>
          <w:color w:val="000000" w:themeColor="text1"/>
          <w:szCs w:val="24"/>
        </w:rPr>
      </w:pPr>
    </w:p>
    <w:p w:rsidR="00305244" w:rsidRPr="00194BC0" w:rsidRDefault="00305244" w:rsidP="002D4E20">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Обрачун доприноса за уређивање грађевинског земљишта врши се на начин прописан чл. 5. ове одлуке, на основу локацијских услова и техничке документације, прописане Зако</w:t>
      </w:r>
      <w:r w:rsidR="002D4E20" w:rsidRPr="00194BC0">
        <w:rPr>
          <w:rFonts w:ascii="Times New Roman" w:hAnsi="Times New Roman" w:cs="Times New Roman"/>
          <w:color w:val="000000" w:themeColor="text1"/>
          <w:szCs w:val="24"/>
        </w:rPr>
        <w:t>ном о планирању и изградњи и подз</w:t>
      </w:r>
      <w:r w:rsidRPr="00194BC0">
        <w:rPr>
          <w:rFonts w:ascii="Times New Roman" w:hAnsi="Times New Roman" w:cs="Times New Roman"/>
          <w:color w:val="000000" w:themeColor="text1"/>
          <w:szCs w:val="24"/>
        </w:rPr>
        <w:t>аконским актима.</w:t>
      </w:r>
    </w:p>
    <w:p w:rsidR="00305244" w:rsidRPr="00194BC0" w:rsidRDefault="00305244" w:rsidP="00305244">
      <w:pPr>
        <w:rPr>
          <w:rFonts w:ascii="Times New Roman" w:hAnsi="Times New Roman" w:cs="Times New Roman"/>
          <w:color w:val="000000" w:themeColor="text1"/>
          <w:szCs w:val="24"/>
        </w:rPr>
      </w:pPr>
    </w:p>
    <w:p w:rsidR="00415F6D" w:rsidRDefault="00415F6D" w:rsidP="002D4E20">
      <w:pPr>
        <w:jc w:val="center"/>
        <w:rPr>
          <w:rFonts w:ascii="Times New Roman" w:hAnsi="Times New Roman" w:cs="Times New Roman"/>
          <w:b/>
          <w:color w:val="000000" w:themeColor="text1"/>
          <w:szCs w:val="24"/>
        </w:rPr>
      </w:pPr>
    </w:p>
    <w:p w:rsidR="00305244" w:rsidRPr="00194BC0" w:rsidRDefault="00305244" w:rsidP="002D4E20">
      <w:pPr>
        <w:jc w:val="center"/>
        <w:rPr>
          <w:rFonts w:ascii="Times New Roman" w:hAnsi="Times New Roman" w:cs="Times New Roman"/>
          <w:b/>
          <w:color w:val="000000" w:themeColor="text1"/>
          <w:szCs w:val="24"/>
        </w:rPr>
      </w:pPr>
      <w:r w:rsidRPr="00194BC0">
        <w:rPr>
          <w:rFonts w:ascii="Times New Roman" w:hAnsi="Times New Roman" w:cs="Times New Roman"/>
          <w:b/>
          <w:color w:val="000000" w:themeColor="text1"/>
          <w:szCs w:val="24"/>
        </w:rPr>
        <w:lastRenderedPageBreak/>
        <w:t>Члан 12</w:t>
      </w:r>
    </w:p>
    <w:p w:rsidR="00305244" w:rsidRPr="00194BC0" w:rsidRDefault="00305244" w:rsidP="00305244">
      <w:pPr>
        <w:rPr>
          <w:rFonts w:ascii="Times New Roman" w:hAnsi="Times New Roman" w:cs="Times New Roman"/>
          <w:color w:val="000000" w:themeColor="text1"/>
          <w:szCs w:val="24"/>
        </w:rPr>
      </w:pPr>
    </w:p>
    <w:p w:rsidR="002D4E20" w:rsidRPr="00194BC0" w:rsidRDefault="00305244" w:rsidP="002D4E20">
      <w:pPr>
        <w:shd w:val="clear" w:color="auto" w:fill="FFFFFF"/>
        <w:autoSpaceDE w:val="0"/>
        <w:autoSpaceDN w:val="0"/>
        <w:adjustRightInd w:val="0"/>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Допринос за уређивање грађевинског земљишта не обрачунава се за:</w:t>
      </w:r>
    </w:p>
    <w:p w:rsidR="00305244" w:rsidRPr="00194BC0" w:rsidRDefault="00305244" w:rsidP="009217FD">
      <w:pPr>
        <w:shd w:val="clear" w:color="auto" w:fill="FFFFFF"/>
        <w:autoSpaceDE w:val="0"/>
        <w:autoSpaceDN w:val="0"/>
        <w:adjustRightInd w:val="0"/>
        <w:ind w:firstLine="720"/>
        <w:jc w:val="both"/>
        <w:rPr>
          <w:rFonts w:ascii="Times New Roman" w:hAnsi="Times New Roman" w:cs="Times New Roman"/>
          <w:color w:val="000000" w:themeColor="text1"/>
          <w:szCs w:val="24"/>
        </w:rPr>
      </w:pP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1. објекте јавне намене у јавној својини,</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2. објекте комуналне и друге инфраструктуре,</w:t>
      </w:r>
    </w:p>
    <w:p w:rsidR="00305244" w:rsidRPr="00194BC0" w:rsidRDefault="00305244" w:rsidP="00305244">
      <w:pPr>
        <w:rPr>
          <w:rFonts w:ascii="Times New Roman" w:hAnsi="Times New Roman" w:cs="Times New Roman"/>
          <w:color w:val="000000" w:themeColor="text1"/>
          <w:szCs w:val="24"/>
        </w:rPr>
      </w:pPr>
    </w:p>
    <w:p w:rsidR="00305244" w:rsidRPr="00194BC0" w:rsidRDefault="00305244"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3. производне и складишне објекте у функцији производних објеката,</w:t>
      </w:r>
    </w:p>
    <w:p w:rsidR="00305244" w:rsidRPr="00194BC0" w:rsidRDefault="00305244" w:rsidP="00305244">
      <w:pPr>
        <w:rPr>
          <w:rFonts w:ascii="Times New Roman" w:hAnsi="Times New Roman" w:cs="Times New Roman"/>
          <w:color w:val="000000" w:themeColor="text1"/>
          <w:szCs w:val="24"/>
        </w:rPr>
      </w:pPr>
    </w:p>
    <w:p w:rsidR="00305244" w:rsidRPr="00194BC0" w:rsidRDefault="002D4E20"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4. подз</w:t>
      </w:r>
      <w:r w:rsidR="00305244" w:rsidRPr="00194BC0">
        <w:rPr>
          <w:rFonts w:ascii="Times New Roman" w:hAnsi="Times New Roman" w:cs="Times New Roman"/>
          <w:color w:val="000000" w:themeColor="text1"/>
          <w:szCs w:val="24"/>
        </w:rPr>
        <w:t>емне етаже објеката високоградње - подруми (простор намењен за гаражирање возила, подстанице, трафостанице, оставе, веше</w:t>
      </w:r>
      <w:r w:rsidRPr="00194BC0">
        <w:rPr>
          <w:rFonts w:ascii="Times New Roman" w:hAnsi="Times New Roman" w:cs="Times New Roman"/>
          <w:color w:val="000000" w:themeColor="text1"/>
          <w:szCs w:val="24"/>
        </w:rPr>
        <w:t>рнице и сл.), осим за делове подз</w:t>
      </w:r>
      <w:r w:rsidR="00305244" w:rsidRPr="00194BC0">
        <w:rPr>
          <w:rFonts w:ascii="Times New Roman" w:hAnsi="Times New Roman" w:cs="Times New Roman"/>
          <w:color w:val="000000" w:themeColor="text1"/>
          <w:szCs w:val="24"/>
        </w:rPr>
        <w:t>емне етаже који се користе за комерцијалне делатности,</w:t>
      </w:r>
    </w:p>
    <w:p w:rsidR="002D4E20" w:rsidRPr="00194BC0" w:rsidRDefault="002D4E20" w:rsidP="00305244">
      <w:pPr>
        <w:rPr>
          <w:rFonts w:ascii="Times New Roman" w:hAnsi="Times New Roman" w:cs="Times New Roman"/>
          <w:color w:val="000000" w:themeColor="text1"/>
          <w:szCs w:val="24"/>
        </w:rPr>
      </w:pPr>
    </w:p>
    <w:p w:rsidR="002D4E20" w:rsidRPr="00194BC0" w:rsidRDefault="002D4E20" w:rsidP="002D4E20">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5. отворена паркиралишта,</w:t>
      </w:r>
    </w:p>
    <w:p w:rsidR="002D4E20" w:rsidRPr="00194BC0" w:rsidRDefault="002D4E20" w:rsidP="002D4E20">
      <w:pPr>
        <w:rPr>
          <w:rFonts w:ascii="Times New Roman" w:hAnsi="Times New Roman" w:cs="Times New Roman"/>
          <w:color w:val="000000" w:themeColor="text1"/>
          <w:szCs w:val="24"/>
        </w:rPr>
      </w:pPr>
    </w:p>
    <w:p w:rsidR="002D4E20" w:rsidRPr="00194BC0" w:rsidRDefault="002D4E20" w:rsidP="002D4E20">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6. интерне саобраћајнице,</w:t>
      </w:r>
    </w:p>
    <w:p w:rsidR="002D4E20" w:rsidRPr="00194BC0" w:rsidRDefault="002D4E20" w:rsidP="002D4E20">
      <w:pPr>
        <w:rPr>
          <w:rFonts w:ascii="Times New Roman" w:hAnsi="Times New Roman" w:cs="Times New Roman"/>
          <w:color w:val="000000" w:themeColor="text1"/>
          <w:szCs w:val="24"/>
        </w:rPr>
      </w:pPr>
    </w:p>
    <w:p w:rsidR="00305244" w:rsidRPr="00194BC0" w:rsidRDefault="002D4E20"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7</w:t>
      </w:r>
      <w:r w:rsidR="00305244" w:rsidRPr="00194BC0">
        <w:rPr>
          <w:rFonts w:ascii="Times New Roman" w:hAnsi="Times New Roman" w:cs="Times New Roman"/>
          <w:color w:val="000000" w:themeColor="text1"/>
          <w:szCs w:val="24"/>
        </w:rPr>
        <w:t>. отворена дечија игралишта,</w:t>
      </w:r>
    </w:p>
    <w:p w:rsidR="00305244" w:rsidRPr="00194BC0" w:rsidRDefault="00305244" w:rsidP="00305244">
      <w:pPr>
        <w:rPr>
          <w:rFonts w:ascii="Times New Roman" w:hAnsi="Times New Roman" w:cs="Times New Roman"/>
          <w:color w:val="000000" w:themeColor="text1"/>
          <w:szCs w:val="24"/>
        </w:rPr>
      </w:pPr>
    </w:p>
    <w:p w:rsidR="00305244" w:rsidRPr="00194BC0" w:rsidRDefault="002D4E20"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8</w:t>
      </w:r>
      <w:r w:rsidR="00305244" w:rsidRPr="00194BC0">
        <w:rPr>
          <w:rFonts w:ascii="Times New Roman" w:hAnsi="Times New Roman" w:cs="Times New Roman"/>
          <w:color w:val="000000" w:themeColor="text1"/>
          <w:szCs w:val="24"/>
        </w:rPr>
        <w:t>. отворене спортске терене,</w:t>
      </w:r>
    </w:p>
    <w:p w:rsidR="00305244" w:rsidRPr="00194BC0" w:rsidRDefault="00305244" w:rsidP="00305244">
      <w:pPr>
        <w:rPr>
          <w:rFonts w:ascii="Times New Roman" w:hAnsi="Times New Roman" w:cs="Times New Roman"/>
          <w:color w:val="000000" w:themeColor="text1"/>
          <w:szCs w:val="24"/>
        </w:rPr>
      </w:pPr>
    </w:p>
    <w:p w:rsidR="00305244" w:rsidRPr="00194BC0" w:rsidRDefault="002D4E20" w:rsidP="00305244">
      <w:pPr>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9</w:t>
      </w:r>
      <w:r w:rsidR="00305244" w:rsidRPr="00194BC0">
        <w:rPr>
          <w:rFonts w:ascii="Times New Roman" w:hAnsi="Times New Roman" w:cs="Times New Roman"/>
          <w:color w:val="000000" w:themeColor="text1"/>
          <w:szCs w:val="24"/>
        </w:rPr>
        <w:t>. атлетске стазе,</w:t>
      </w:r>
    </w:p>
    <w:p w:rsidR="00305244" w:rsidRPr="00194BC0" w:rsidRDefault="00305244" w:rsidP="00305244">
      <w:pPr>
        <w:rPr>
          <w:rFonts w:ascii="Times New Roman" w:hAnsi="Times New Roman" w:cs="Times New Roman"/>
          <w:color w:val="000000" w:themeColor="text1"/>
          <w:szCs w:val="24"/>
        </w:rPr>
      </w:pPr>
    </w:p>
    <w:p w:rsidR="00305244" w:rsidRPr="00194BC0" w:rsidRDefault="003D3BB1" w:rsidP="00D57A4D">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10</w:t>
      </w:r>
      <w:r w:rsidR="00305244" w:rsidRPr="00194BC0">
        <w:rPr>
          <w:rFonts w:ascii="Times New Roman" w:hAnsi="Times New Roman" w:cs="Times New Roman"/>
          <w:color w:val="000000" w:themeColor="text1"/>
          <w:szCs w:val="24"/>
        </w:rPr>
        <w:t>. реконструкцију и адаптацију легално изграђеног објекта односно легализованог или озакоњеног објекта у оквиру постојећег габарита и волумена, без повећања укупне нето површине и без промене намене,</w:t>
      </w:r>
    </w:p>
    <w:p w:rsidR="00305244" w:rsidRPr="00194BC0" w:rsidRDefault="00305244" w:rsidP="00305244">
      <w:pPr>
        <w:rPr>
          <w:rFonts w:ascii="Times New Roman" w:hAnsi="Times New Roman" w:cs="Times New Roman"/>
          <w:color w:val="000000" w:themeColor="text1"/>
          <w:szCs w:val="24"/>
        </w:rPr>
      </w:pPr>
    </w:p>
    <w:p w:rsidR="00305244" w:rsidRPr="00194BC0" w:rsidRDefault="00D57A4D" w:rsidP="00D57A4D">
      <w:pPr>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11</w:t>
      </w:r>
      <w:r w:rsidR="00305244" w:rsidRPr="00194BC0">
        <w:rPr>
          <w:rFonts w:ascii="Times New Roman" w:hAnsi="Times New Roman" w:cs="Times New Roman"/>
          <w:color w:val="000000" w:themeColor="text1"/>
          <w:szCs w:val="24"/>
        </w:rPr>
        <w:t>. објекте чи</w:t>
      </w:r>
      <w:r w:rsidRPr="00194BC0">
        <w:rPr>
          <w:rFonts w:ascii="Times New Roman" w:hAnsi="Times New Roman" w:cs="Times New Roman"/>
          <w:color w:val="000000" w:themeColor="text1"/>
          <w:szCs w:val="24"/>
        </w:rPr>
        <w:t>ји је инвеститор општина Рача</w:t>
      </w:r>
      <w:r w:rsidR="00305244" w:rsidRPr="00194BC0">
        <w:rPr>
          <w:rFonts w:ascii="Times New Roman" w:hAnsi="Times New Roman" w:cs="Times New Roman"/>
          <w:color w:val="000000" w:themeColor="text1"/>
          <w:szCs w:val="24"/>
        </w:rPr>
        <w:t>, као и у случајевима када је посебним споразумом између Републике Србије</w:t>
      </w:r>
      <w:r w:rsidRPr="00194BC0">
        <w:rPr>
          <w:rFonts w:ascii="Times New Roman" w:hAnsi="Times New Roman" w:cs="Times New Roman"/>
          <w:color w:val="000000" w:themeColor="text1"/>
          <w:szCs w:val="24"/>
        </w:rPr>
        <w:t>, инвеститора и општине Рача</w:t>
      </w:r>
      <w:r w:rsidR="00305244" w:rsidRPr="00194BC0">
        <w:rPr>
          <w:rFonts w:ascii="Times New Roman" w:hAnsi="Times New Roman" w:cs="Times New Roman"/>
          <w:color w:val="000000" w:themeColor="text1"/>
          <w:szCs w:val="24"/>
        </w:rPr>
        <w:t xml:space="preserve"> регулисано ослобађање од плаћања такси, накнада и доприноса за уређивање грађевинског</w:t>
      </w:r>
      <w:r w:rsidR="00226980" w:rsidRPr="00194BC0">
        <w:rPr>
          <w:rFonts w:ascii="Times New Roman" w:hAnsi="Times New Roman" w:cs="Times New Roman"/>
          <w:color w:val="000000" w:themeColor="text1"/>
          <w:szCs w:val="24"/>
        </w:rPr>
        <w:t xml:space="preserve"> земљишта, као вид инвестиционих</w:t>
      </w:r>
      <w:r w:rsidR="00305244" w:rsidRPr="00194BC0">
        <w:rPr>
          <w:rFonts w:ascii="Times New Roman" w:hAnsi="Times New Roman" w:cs="Times New Roman"/>
          <w:color w:val="000000" w:themeColor="text1"/>
          <w:szCs w:val="24"/>
        </w:rPr>
        <w:t xml:space="preserve"> подстиц</w:t>
      </w:r>
      <w:r w:rsidRPr="00194BC0">
        <w:rPr>
          <w:rFonts w:ascii="Times New Roman" w:hAnsi="Times New Roman" w:cs="Times New Roman"/>
          <w:color w:val="000000" w:themeColor="text1"/>
          <w:szCs w:val="24"/>
        </w:rPr>
        <w:t>аја за улагање у општину Рача</w:t>
      </w:r>
      <w:r w:rsidR="00305244" w:rsidRPr="00194BC0">
        <w:rPr>
          <w:rFonts w:ascii="Times New Roman" w:hAnsi="Times New Roman" w:cs="Times New Roman"/>
          <w:color w:val="000000" w:themeColor="text1"/>
          <w:szCs w:val="24"/>
        </w:rPr>
        <w:t>, као и на основу посебне о</w:t>
      </w:r>
      <w:r w:rsidRPr="00194BC0">
        <w:rPr>
          <w:rFonts w:ascii="Times New Roman" w:hAnsi="Times New Roman" w:cs="Times New Roman"/>
          <w:color w:val="000000" w:themeColor="text1"/>
          <w:szCs w:val="24"/>
        </w:rPr>
        <w:t>длуке Скупштине општине Рача</w:t>
      </w:r>
      <w:r w:rsidR="00305244" w:rsidRPr="00194BC0">
        <w:rPr>
          <w:rFonts w:ascii="Times New Roman" w:hAnsi="Times New Roman" w:cs="Times New Roman"/>
          <w:color w:val="000000" w:themeColor="text1"/>
          <w:szCs w:val="24"/>
        </w:rPr>
        <w:t>,</w:t>
      </w:r>
    </w:p>
    <w:p w:rsidR="00305244" w:rsidRPr="00194BC0" w:rsidRDefault="00305244" w:rsidP="00D57A4D">
      <w:pPr>
        <w:jc w:val="both"/>
        <w:rPr>
          <w:rFonts w:ascii="Times New Roman" w:hAnsi="Times New Roman" w:cs="Times New Roman"/>
          <w:color w:val="000000" w:themeColor="text1"/>
          <w:szCs w:val="24"/>
        </w:rPr>
      </w:pPr>
    </w:p>
    <w:p w:rsidR="009217FD" w:rsidRPr="00FF7079" w:rsidRDefault="009217FD" w:rsidP="00226980">
      <w:pPr>
        <w:ind w:firstLine="720"/>
        <w:jc w:val="both"/>
        <w:rPr>
          <w:rFonts w:ascii="Times New Roman" w:hAnsi="Times New Roman" w:cs="Times New Roman"/>
          <w:color w:val="000000" w:themeColor="text1"/>
          <w:szCs w:val="24"/>
        </w:rPr>
      </w:pPr>
      <w:r w:rsidRPr="00194BC0">
        <w:rPr>
          <w:rFonts w:ascii="Times New Roman" w:hAnsi="Times New Roman" w:cs="Times New Roman"/>
          <w:color w:val="000000" w:themeColor="text1"/>
          <w:szCs w:val="24"/>
        </w:rPr>
        <w:t>За изградњу објеката за обављање делатности која је од значаја за привредни развојoпштине, допринос се може умањити до 50%, уз сагласност Општинског већа општине Рача, а</w:t>
      </w:r>
      <w:r w:rsidR="00226980" w:rsidRPr="00194BC0">
        <w:rPr>
          <w:rFonts w:ascii="Times New Roman" w:hAnsi="Times New Roman" w:cs="Times New Roman"/>
          <w:color w:val="000000" w:themeColor="text1"/>
          <w:szCs w:val="24"/>
        </w:rPr>
        <w:t xml:space="preserve">у складу са </w:t>
      </w:r>
      <w:r w:rsidRPr="00194BC0">
        <w:rPr>
          <w:rFonts w:ascii="Times New Roman" w:hAnsi="Times New Roman" w:cs="Times New Roman"/>
          <w:color w:val="000000" w:themeColor="text1"/>
          <w:szCs w:val="24"/>
        </w:rPr>
        <w:t>преузетим обавезама инвеститора у погледу запошљавања броја лица на</w:t>
      </w:r>
      <w:r w:rsidR="00226980" w:rsidRPr="00194BC0">
        <w:rPr>
          <w:rFonts w:ascii="Times New Roman" w:hAnsi="Times New Roman" w:cs="Times New Roman"/>
          <w:color w:val="000000" w:themeColor="text1"/>
          <w:szCs w:val="24"/>
        </w:rPr>
        <w:t xml:space="preserve">неодређено време у </w:t>
      </w:r>
      <w:r w:rsidRPr="00FF7079">
        <w:rPr>
          <w:rFonts w:ascii="Times New Roman" w:hAnsi="Times New Roman" w:cs="Times New Roman"/>
          <w:color w:val="000000" w:themeColor="text1"/>
          <w:szCs w:val="24"/>
        </w:rPr>
        <w:t>одређеном временском периоду, и то:</w:t>
      </w:r>
    </w:p>
    <w:p w:rsidR="009217FD" w:rsidRPr="00FF7079" w:rsidRDefault="009217FD" w:rsidP="009217F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-за 1-5 лица запослених на неодређено време проценат умањења износи 10%,</w:t>
      </w:r>
    </w:p>
    <w:p w:rsidR="009217FD" w:rsidRPr="00FF7079" w:rsidRDefault="009217FD" w:rsidP="009217F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-за 5-10 лица запослених на неодређено време проценат умањења износи 20%,</w:t>
      </w:r>
    </w:p>
    <w:p w:rsidR="009217FD" w:rsidRPr="00FF7079" w:rsidRDefault="009217FD" w:rsidP="009217F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-за 10-15 лица запослених на неодређено време проценат умањења износи 30%,</w:t>
      </w:r>
    </w:p>
    <w:p w:rsidR="009217FD" w:rsidRPr="00FF7079" w:rsidRDefault="009217FD" w:rsidP="009217F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-за 15-20 лица запослених на неодређено време проценат умањења износи 40%,</w:t>
      </w:r>
    </w:p>
    <w:p w:rsidR="009217FD" w:rsidRPr="00FF7079" w:rsidRDefault="009217FD" w:rsidP="009217F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-за више од 20 лица запослених на неодређено време проценат умањења износи 50%.</w:t>
      </w:r>
    </w:p>
    <w:p w:rsidR="009217FD" w:rsidRPr="00FF7079" w:rsidRDefault="009217FD" w:rsidP="009217FD">
      <w:pPr>
        <w:jc w:val="both"/>
        <w:rPr>
          <w:rFonts w:ascii="Times New Roman" w:hAnsi="Times New Roman" w:cs="Times New Roman"/>
          <w:color w:val="000000" w:themeColor="text1"/>
          <w:szCs w:val="24"/>
        </w:rPr>
      </w:pPr>
    </w:p>
    <w:p w:rsidR="009217FD" w:rsidRDefault="009217FD" w:rsidP="009217F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Умањење из става 1. овог члана не односи се на објекте станоградње.</w:t>
      </w:r>
    </w:p>
    <w:p w:rsidR="00B32038" w:rsidRPr="00FF7079" w:rsidRDefault="00B32038" w:rsidP="009217FD">
      <w:pPr>
        <w:ind w:firstLine="720"/>
        <w:jc w:val="both"/>
        <w:rPr>
          <w:rFonts w:ascii="Times New Roman" w:hAnsi="Times New Roman" w:cs="Times New Roman"/>
          <w:color w:val="000000" w:themeColor="text1"/>
          <w:szCs w:val="24"/>
        </w:rPr>
      </w:pPr>
    </w:p>
    <w:p w:rsidR="00B32038" w:rsidRPr="00615578" w:rsidRDefault="00B32038" w:rsidP="00615578">
      <w:pPr>
        <w:ind w:firstLine="720"/>
        <w:jc w:val="both"/>
        <w:rPr>
          <w:rFonts w:ascii="Times New Roman" w:hAnsi="Times New Roman" w:cs="Times New Roman"/>
          <w:sz w:val="22"/>
        </w:rPr>
      </w:pPr>
      <w:r w:rsidRPr="00615578">
        <w:rPr>
          <w:rFonts w:ascii="Times New Roman" w:hAnsi="Times New Roman" w:cs="Times New Roman"/>
          <w:sz w:val="22"/>
          <w:shd w:val="clear" w:color="auto" w:fill="FCFCFC"/>
        </w:rPr>
        <w:t>Инвеститор објекта за који је издат сертификат зелене градње, има право на умањење обрачунатог доприноса за уређивање грађевинског земљишта у висини од 10% у односу на укупно одређени износ доприноса.</w:t>
      </w:r>
    </w:p>
    <w:p w:rsidR="00305244" w:rsidRPr="00615578" w:rsidRDefault="00305244" w:rsidP="009217FD">
      <w:pPr>
        <w:jc w:val="both"/>
        <w:rPr>
          <w:rFonts w:ascii="Times New Roman" w:hAnsi="Times New Roman" w:cs="Times New Roman"/>
          <w:szCs w:val="24"/>
        </w:rPr>
      </w:pPr>
    </w:p>
    <w:p w:rsidR="00415F6D" w:rsidRDefault="00415F6D" w:rsidP="009217FD">
      <w:pPr>
        <w:jc w:val="both"/>
        <w:rPr>
          <w:rFonts w:ascii="Times New Roman" w:hAnsi="Times New Roman" w:cs="Times New Roman"/>
          <w:color w:val="000000" w:themeColor="text1"/>
          <w:szCs w:val="24"/>
        </w:rPr>
      </w:pPr>
    </w:p>
    <w:p w:rsidR="00415F6D" w:rsidRDefault="00415F6D" w:rsidP="009217FD">
      <w:pPr>
        <w:jc w:val="both"/>
        <w:rPr>
          <w:rFonts w:ascii="Times New Roman" w:hAnsi="Times New Roman" w:cs="Times New Roman"/>
          <w:color w:val="000000" w:themeColor="text1"/>
          <w:szCs w:val="24"/>
        </w:rPr>
      </w:pPr>
    </w:p>
    <w:p w:rsidR="00415F6D" w:rsidRPr="00415F6D" w:rsidRDefault="00415F6D" w:rsidP="009217FD">
      <w:pPr>
        <w:jc w:val="both"/>
        <w:rPr>
          <w:rFonts w:ascii="Times New Roman" w:hAnsi="Times New Roman" w:cs="Times New Roman"/>
          <w:color w:val="000000" w:themeColor="text1"/>
          <w:szCs w:val="24"/>
        </w:rPr>
      </w:pPr>
    </w:p>
    <w:p w:rsidR="00305244" w:rsidRPr="00FF7079" w:rsidRDefault="00305244" w:rsidP="00D57A4D">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5. Начин плаћања доприноса и средства обезбеђења</w:t>
      </w:r>
    </w:p>
    <w:p w:rsidR="00305244" w:rsidRPr="00FF7079" w:rsidRDefault="00305244" w:rsidP="00305244">
      <w:pPr>
        <w:rPr>
          <w:rFonts w:ascii="Times New Roman" w:hAnsi="Times New Roman" w:cs="Times New Roman"/>
          <w:color w:val="000000" w:themeColor="text1"/>
          <w:szCs w:val="24"/>
        </w:rPr>
      </w:pPr>
    </w:p>
    <w:p w:rsidR="00305244" w:rsidRPr="00FF7079" w:rsidRDefault="00305244" w:rsidP="00D57A4D">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13</w:t>
      </w:r>
    </w:p>
    <w:p w:rsidR="00305244" w:rsidRPr="00FF7079" w:rsidRDefault="00305244" w:rsidP="00305244">
      <w:pPr>
        <w:rPr>
          <w:rFonts w:ascii="Times New Roman" w:hAnsi="Times New Roman" w:cs="Times New Roman"/>
          <w:color w:val="000000" w:themeColor="text1"/>
          <w:szCs w:val="24"/>
        </w:rPr>
      </w:pPr>
    </w:p>
    <w:p w:rsidR="00305244" w:rsidRPr="00FF7079" w:rsidRDefault="00305244" w:rsidP="00866C54">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Допринос за уређивање грађевинског земљишта, утврђен решењем о грађевинској дозволи, плаћа инвеститор, најкасније до подношења пријаве радова.</w:t>
      </w:r>
    </w:p>
    <w:p w:rsidR="00305244" w:rsidRPr="00FF7079" w:rsidRDefault="00305244" w:rsidP="00866C54">
      <w:pPr>
        <w:jc w:val="both"/>
        <w:rPr>
          <w:rFonts w:ascii="Times New Roman" w:hAnsi="Times New Roman" w:cs="Times New Roman"/>
          <w:color w:val="000000" w:themeColor="text1"/>
          <w:szCs w:val="24"/>
        </w:rPr>
      </w:pPr>
    </w:p>
    <w:p w:rsidR="00305244" w:rsidRPr="00FF7079" w:rsidRDefault="00305244" w:rsidP="00866C54">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Допринос из претходног става може се платити једнократно или у ратама.</w:t>
      </w:r>
    </w:p>
    <w:p w:rsidR="00305244" w:rsidRPr="00FF7079" w:rsidRDefault="00305244" w:rsidP="00866C54">
      <w:pPr>
        <w:jc w:val="both"/>
        <w:rPr>
          <w:rFonts w:ascii="Times New Roman" w:hAnsi="Times New Roman" w:cs="Times New Roman"/>
          <w:color w:val="000000" w:themeColor="text1"/>
          <w:szCs w:val="24"/>
        </w:rPr>
      </w:pPr>
    </w:p>
    <w:p w:rsidR="00305244" w:rsidRPr="00FF7079" w:rsidRDefault="00305244" w:rsidP="00866C54">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xml:space="preserve">У случају једнократне уплате доприноса у целости, </w:t>
      </w:r>
      <w:r w:rsidR="00866C54" w:rsidRPr="00FF7079">
        <w:rPr>
          <w:rFonts w:ascii="Times New Roman" w:hAnsi="Times New Roman" w:cs="Times New Roman"/>
          <w:color w:val="000000" w:themeColor="text1"/>
          <w:szCs w:val="24"/>
        </w:rPr>
        <w:t>а до подношења пријаве радова</w:t>
      </w:r>
      <w:r w:rsidRPr="00FF7079">
        <w:rPr>
          <w:rFonts w:ascii="Times New Roman" w:hAnsi="Times New Roman" w:cs="Times New Roman"/>
          <w:color w:val="000000" w:themeColor="text1"/>
          <w:szCs w:val="24"/>
        </w:rPr>
        <w:t>, инвеститор им</w:t>
      </w:r>
      <w:r w:rsidR="00866C54" w:rsidRPr="00FF7079">
        <w:rPr>
          <w:rFonts w:ascii="Times New Roman" w:hAnsi="Times New Roman" w:cs="Times New Roman"/>
          <w:color w:val="000000" w:themeColor="text1"/>
          <w:szCs w:val="24"/>
        </w:rPr>
        <w:t>а право на умањење у износу од најмање 3</w:t>
      </w:r>
      <w:r w:rsidRPr="00FF7079">
        <w:rPr>
          <w:rFonts w:ascii="Times New Roman" w:hAnsi="Times New Roman" w:cs="Times New Roman"/>
          <w:color w:val="000000" w:themeColor="text1"/>
          <w:szCs w:val="24"/>
        </w:rPr>
        <w:t>0% утврђеног доприноса.</w:t>
      </w:r>
    </w:p>
    <w:p w:rsidR="00305244" w:rsidRPr="00FF7079" w:rsidRDefault="00305244" w:rsidP="00866C54">
      <w:pPr>
        <w:jc w:val="both"/>
        <w:rPr>
          <w:rFonts w:ascii="Times New Roman" w:hAnsi="Times New Roman" w:cs="Times New Roman"/>
          <w:color w:val="000000" w:themeColor="text1"/>
          <w:szCs w:val="24"/>
        </w:rPr>
      </w:pPr>
    </w:p>
    <w:p w:rsidR="00305244" w:rsidRPr="00FF7079" w:rsidRDefault="00305244" w:rsidP="00DD740A">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 случају да је укупно обрачунати износ доприноса већи од износа улагања инвеститора у недостајућу инфраструктуру из члана 10. став 2. ове Одлуке, инвеститору с</w:t>
      </w:r>
      <w:r w:rsidR="00DD740A" w:rsidRPr="00FF7079">
        <w:rPr>
          <w:rFonts w:ascii="Times New Roman" w:hAnsi="Times New Roman" w:cs="Times New Roman"/>
          <w:color w:val="000000" w:themeColor="text1"/>
          <w:szCs w:val="24"/>
        </w:rPr>
        <w:t>е може обрачунати умањење</w:t>
      </w:r>
      <w:r w:rsidRPr="00FF7079">
        <w:rPr>
          <w:rFonts w:ascii="Times New Roman" w:hAnsi="Times New Roman" w:cs="Times New Roman"/>
          <w:color w:val="000000" w:themeColor="text1"/>
          <w:szCs w:val="24"/>
        </w:rPr>
        <w:t xml:space="preserve"> од 30% које се обрачунава на разлику између укупно утврђеног износа доприноса и износа улагања у недостајућу инфраструктуру, уколико се плаћање разлике изврши једнократно, а до подношења пријаве радова.</w:t>
      </w:r>
    </w:p>
    <w:p w:rsidR="00305244" w:rsidRPr="00FF7079" w:rsidRDefault="00305244" w:rsidP="00866C54">
      <w:pPr>
        <w:jc w:val="both"/>
        <w:rPr>
          <w:rFonts w:ascii="Times New Roman" w:hAnsi="Times New Roman" w:cs="Times New Roman"/>
          <w:color w:val="000000" w:themeColor="text1"/>
          <w:szCs w:val="24"/>
        </w:rPr>
      </w:pPr>
    </w:p>
    <w:p w:rsidR="00305244" w:rsidRPr="00FF7079" w:rsidRDefault="00305244" w:rsidP="009358A7">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Коначан износ улагања у недостајућу инфраструктуру утврђује се приликом коначног обрачуна доприноса у поступку издавања употребне дозволе за објекат инвест</w:t>
      </w:r>
      <w:r w:rsidR="00DD740A" w:rsidRPr="00FF7079">
        <w:rPr>
          <w:rFonts w:ascii="Times New Roman" w:hAnsi="Times New Roman" w:cs="Times New Roman"/>
          <w:color w:val="000000" w:themeColor="text1"/>
          <w:szCs w:val="24"/>
        </w:rPr>
        <w:t xml:space="preserve">итора, а на основу извештаја надзорног органа - </w:t>
      </w:r>
      <w:r w:rsidR="009358A7" w:rsidRPr="00FF7079">
        <w:rPr>
          <w:rFonts w:ascii="Times New Roman" w:hAnsi="Times New Roman" w:cs="Times New Roman"/>
          <w:color w:val="000000" w:themeColor="text1"/>
          <w:szCs w:val="24"/>
        </w:rPr>
        <w:t xml:space="preserve">Јавно предузећe за управљање и развој инфраструктурних објеката, из Раче </w:t>
      </w:r>
      <w:r w:rsidRPr="00FF7079">
        <w:rPr>
          <w:rFonts w:ascii="Times New Roman" w:hAnsi="Times New Roman" w:cs="Times New Roman"/>
          <w:color w:val="000000" w:themeColor="text1"/>
          <w:szCs w:val="24"/>
        </w:rPr>
        <w:t>о укупно утрошеним средствима за изградњу недостајуће инфраструктуре, у складу са Уговором о заједничком припремању, односно опремању грађевинског земљишта средствима инвеститора.</w:t>
      </w:r>
    </w:p>
    <w:p w:rsidR="00305244" w:rsidRPr="00FF7079" w:rsidRDefault="00305244" w:rsidP="00866C54">
      <w:pPr>
        <w:jc w:val="both"/>
        <w:rPr>
          <w:rFonts w:ascii="Times New Roman" w:hAnsi="Times New Roman" w:cs="Times New Roman"/>
          <w:color w:val="000000" w:themeColor="text1"/>
          <w:szCs w:val="24"/>
        </w:rPr>
      </w:pPr>
    </w:p>
    <w:p w:rsidR="00305244" w:rsidRPr="00FF7079" w:rsidRDefault="00305244" w:rsidP="00DD740A">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 случају да је износ коначног обрачуна доприноса из става 6. овог члана мањи од износа укупног улагања инвеститора у недостајућу инфраструктуру, за утврђену разлику између износа улагања у недостајућу инфраструктуру и обрачунатог коначног доприноса, инвеститор има право на умањење утврђеног износа доприноса у поступку издавања само прве наредне грађевинске дозволе за нови грађевински објекат (на новој грађевинској парцели), истог инвеститора, у року од 3 године, рачунајући од дана правоснажности употребне дозволе за изграђени објекат.</w:t>
      </w:r>
    </w:p>
    <w:p w:rsidR="00305244" w:rsidRPr="00FF7079" w:rsidRDefault="00305244" w:rsidP="00866C54">
      <w:pPr>
        <w:jc w:val="both"/>
        <w:rPr>
          <w:rFonts w:ascii="Times New Roman" w:hAnsi="Times New Roman" w:cs="Times New Roman"/>
          <w:color w:val="000000" w:themeColor="text1"/>
          <w:szCs w:val="24"/>
        </w:rPr>
      </w:pPr>
    </w:p>
    <w:p w:rsidR="00305244" w:rsidRPr="00FF7079" w:rsidRDefault="00305244" w:rsidP="00A46198">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Уколико се приликом обрачуна доприноса за нову грађевинску дозволу, на новој парцели, не утроши цео износ разлике из става 7. овог члана, инвеститор нема права на повраћај неутрошеног дела разлике.</w:t>
      </w:r>
    </w:p>
    <w:p w:rsidR="00305244" w:rsidRPr="00FF7079" w:rsidRDefault="00305244" w:rsidP="00866C54">
      <w:pPr>
        <w:jc w:val="both"/>
        <w:rPr>
          <w:rFonts w:ascii="Times New Roman" w:hAnsi="Times New Roman" w:cs="Times New Roman"/>
          <w:color w:val="000000" w:themeColor="text1"/>
          <w:szCs w:val="24"/>
        </w:rPr>
      </w:pPr>
    </w:p>
    <w:p w:rsidR="00305244" w:rsidRPr="00FF7079" w:rsidRDefault="00305244" w:rsidP="00A46198">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Инвеститор може допринос да плати и у 36 месечних рата, уз обавезу достављања одговарајућег средства обезбеђења плаћања, у ком случају нема право на умањење.</w:t>
      </w:r>
    </w:p>
    <w:p w:rsidR="00305244" w:rsidRPr="00FF7079" w:rsidRDefault="00305244" w:rsidP="00866C54">
      <w:pPr>
        <w:jc w:val="both"/>
        <w:rPr>
          <w:rFonts w:ascii="Times New Roman" w:hAnsi="Times New Roman" w:cs="Times New Roman"/>
          <w:color w:val="000000" w:themeColor="text1"/>
          <w:szCs w:val="24"/>
        </w:rPr>
      </w:pPr>
    </w:p>
    <w:p w:rsidR="00305244" w:rsidRPr="00FF7079" w:rsidRDefault="00305244" w:rsidP="00797353">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Право на умањење од 30% има и инвеститор који плаћање врши у ратама у случају једнократног плаћања преосталих недоспелих рата, с тим што се умањење обрачунава на преостали износ доприноса чије плаћање инвеститор врши једнократно.</w:t>
      </w:r>
    </w:p>
    <w:p w:rsidR="00305244" w:rsidRPr="00FF7079" w:rsidRDefault="00305244" w:rsidP="00305244">
      <w:pPr>
        <w:rPr>
          <w:rFonts w:ascii="Times New Roman" w:hAnsi="Times New Roman" w:cs="Times New Roman"/>
          <w:color w:val="000000" w:themeColor="text1"/>
          <w:szCs w:val="24"/>
        </w:rPr>
      </w:pPr>
    </w:p>
    <w:p w:rsidR="00305244" w:rsidRPr="00FF7079" w:rsidRDefault="00305244" w:rsidP="00866C54">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14</w:t>
      </w:r>
    </w:p>
    <w:p w:rsidR="00305244" w:rsidRPr="00FF7079" w:rsidRDefault="00305244" w:rsidP="00305244">
      <w:pPr>
        <w:rPr>
          <w:rFonts w:ascii="Times New Roman" w:hAnsi="Times New Roman" w:cs="Times New Roman"/>
          <w:color w:val="000000" w:themeColor="text1"/>
          <w:szCs w:val="24"/>
        </w:rPr>
      </w:pPr>
    </w:p>
    <w:p w:rsidR="00305244" w:rsidRPr="00FF7079" w:rsidRDefault="00305244" w:rsidP="00A46198">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Инвеститор који допринос за уређивање грађевинског земљишта плаћа једнократно, у целости, дужан је да плаћање изврши најкасније до подношења пријаве радова.</w:t>
      </w:r>
    </w:p>
    <w:p w:rsidR="00305244" w:rsidRPr="00FF7079" w:rsidRDefault="00305244" w:rsidP="00305244">
      <w:pPr>
        <w:rPr>
          <w:rFonts w:ascii="Times New Roman" w:hAnsi="Times New Roman" w:cs="Times New Roman"/>
          <w:color w:val="000000" w:themeColor="text1"/>
          <w:szCs w:val="24"/>
        </w:rPr>
      </w:pPr>
    </w:p>
    <w:p w:rsidR="000A766A" w:rsidRPr="00FF7079" w:rsidRDefault="00305244" w:rsidP="000A766A">
      <w:pPr>
        <w:ind w:firstLine="720"/>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lastRenderedPageBreak/>
        <w:t>Инвеститор који допринос плаћа у ратама, дужан је да плаћање прве рате изврши најкасније до подношења пријаве радова</w:t>
      </w:r>
      <w:r w:rsidR="000A766A" w:rsidRPr="00FF7079">
        <w:rPr>
          <w:rFonts w:ascii="Times New Roman" w:hAnsi="Times New Roman" w:cs="Times New Roman"/>
          <w:color w:val="000000" w:themeColor="text1"/>
          <w:szCs w:val="24"/>
        </w:rPr>
        <w:t xml:space="preserve"> и до тада достави средстваобезбеђења.</w:t>
      </w:r>
    </w:p>
    <w:p w:rsidR="0034722D" w:rsidRPr="00FF7079" w:rsidRDefault="0034722D" w:rsidP="0034722D">
      <w:pPr>
        <w:ind w:firstLine="720"/>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Уколико инвеститор не измири доспели износ доприноса у прописаном року, наплата</w:t>
      </w:r>
    </w:p>
    <w:p w:rsidR="00305244" w:rsidRPr="00FF7079" w:rsidRDefault="0034722D" w:rsidP="0034722D">
      <w:pPr>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ће се извршити принудним путем у поступку прописаном Законом о пореском поступку ипореској администрацији.</w:t>
      </w:r>
    </w:p>
    <w:p w:rsidR="0034722D" w:rsidRPr="00FF7079" w:rsidRDefault="0034722D" w:rsidP="0034722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Трошкови принудне наплате падају на терет инвеститора.</w:t>
      </w:r>
    </w:p>
    <w:p w:rsidR="00305244" w:rsidRPr="00FF7079" w:rsidRDefault="00305244" w:rsidP="00305244">
      <w:pPr>
        <w:rPr>
          <w:rFonts w:ascii="Times New Roman" w:hAnsi="Times New Roman" w:cs="Times New Roman"/>
          <w:color w:val="000000" w:themeColor="text1"/>
          <w:szCs w:val="24"/>
        </w:rPr>
      </w:pPr>
    </w:p>
    <w:p w:rsidR="00305244" w:rsidRPr="00FF7079" w:rsidRDefault="00305244" w:rsidP="00305244">
      <w:pPr>
        <w:rPr>
          <w:rFonts w:ascii="Times New Roman" w:hAnsi="Times New Roman" w:cs="Times New Roman"/>
          <w:color w:val="000000" w:themeColor="text1"/>
          <w:szCs w:val="24"/>
        </w:rPr>
      </w:pPr>
    </w:p>
    <w:p w:rsidR="00305244" w:rsidRPr="00FF7079" w:rsidRDefault="00305244" w:rsidP="0034722D">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15</w:t>
      </w:r>
    </w:p>
    <w:p w:rsidR="00305244" w:rsidRPr="00FF7079" w:rsidRDefault="00305244" w:rsidP="00305244">
      <w:pPr>
        <w:rPr>
          <w:rFonts w:ascii="Times New Roman" w:hAnsi="Times New Roman" w:cs="Times New Roman"/>
          <w:color w:val="000000" w:themeColor="text1"/>
          <w:szCs w:val="24"/>
        </w:rPr>
      </w:pPr>
    </w:p>
    <w:p w:rsidR="00305244" w:rsidRPr="00FF7079" w:rsidRDefault="00305244" w:rsidP="00244C65">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Износ, начин плаћања доприноса за уређивање грађевинског земљишта и средство обезбеђења у случају плаћања у ратама, су саставни део решења о грађевинској дозволи.</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244C65">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16</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244C65">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Плаћање утврђеног износа доприноса инвеститор врши на основу Инструкција за плаћање које издаје орган надлежан за обрачун доприноса.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244C65">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Инвеститор је дужан да пре подношења захтева за пријаву радова, органу надлежном за обрачун доприноса поднесе захтев за добијање Инструкција за плаћање, уз који прилаже правноснажно решење о грађевинској дозволи.</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244C65">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 случају плаћања у ратама инвеститор је дужан да као средство обезбеђења за плаћање доприноса достави:</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1. неопозиву банкарску гаранцију, наплативу на први позив, без приговора, која гласи на укупан износ недоспелих рата и која је издата на рок који мора бити дужи од 3 месеца од дана доспећа последње рате или</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2. решење о упису хипотеке</w:t>
      </w:r>
      <w:r w:rsidR="00244C65" w:rsidRPr="00FF7079">
        <w:rPr>
          <w:rFonts w:ascii="Times New Roman" w:hAnsi="Times New Roman" w:cs="Times New Roman"/>
          <w:color w:val="000000" w:themeColor="text1"/>
          <w:szCs w:val="24"/>
        </w:rPr>
        <w:t xml:space="preserve"> у корист јединице локалне самоуправе</w:t>
      </w:r>
      <w:r w:rsidRPr="00FF7079">
        <w:rPr>
          <w:rFonts w:ascii="Times New Roman" w:hAnsi="Times New Roman" w:cs="Times New Roman"/>
          <w:color w:val="000000" w:themeColor="text1"/>
          <w:szCs w:val="24"/>
        </w:rPr>
        <w:t xml:space="preserve"> на објекту у власништву инвеститора или трећег лица које гласи на укупан износ недоспелих рата, уз које је достављена и процена тржишне вредности тог објекта израђена од судског вештака одговарајуће струке или решење којим је утврђен порез на имовину за тај објекат за текућу, односно претходну календарску годину, у коме је процењена, односно означена вредност тог објекта у износу од најмање 30% више од укупног износа недоспелих рата.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244C65">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17</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244C65">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За изградњу објеката чија укупна бруто развијена грађевинска површина не прелази 200 м2, односно за објекат који не садржи више од две стамбене јединице, у случају плаћања доприноса за уређивање грађевинског земљишта у ратама, не доставља се средство обезбеђења за плаћање доприноса.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244C65">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18</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244C65">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 случају једнократног плаћања доприноса за уређивање грађевинског земљишта, инвеститор је у обавези да исти уплати најкасније у року од 8 дана од дана пријема Инструкција за плаћање из чл. 16. ове Одлуке.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244C65">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lastRenderedPageBreak/>
        <w:t>У случају плаћања доприноса за уређивање грађевинског земљишта у ратама, инвеститор је у обавези да прву рату у висини од 10% утврђеног доприноса уплати најкасније у року од 8 дана од дана пријема инструкција за плаћање</w:t>
      </w:r>
      <w:r w:rsidR="009358A7" w:rsidRPr="00FF7079">
        <w:rPr>
          <w:rFonts w:ascii="Times New Roman" w:hAnsi="Times New Roman" w:cs="Times New Roman"/>
          <w:color w:val="000000" w:themeColor="text1"/>
          <w:szCs w:val="24"/>
        </w:rPr>
        <w:t>, а сваку следећу месечну рату</w:t>
      </w:r>
      <w:r w:rsidRPr="00FF7079">
        <w:rPr>
          <w:rFonts w:ascii="Times New Roman" w:hAnsi="Times New Roman" w:cs="Times New Roman"/>
          <w:color w:val="000000" w:themeColor="text1"/>
          <w:szCs w:val="24"/>
        </w:rPr>
        <w:t>, најкасније до 25. у наредном месецу.</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F66E19">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Плаћање рата врши се на основу Инструкција за плаћање испостављених од стране органа надлежног за обрачун доприноса.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F66E19">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За период кашњења у плаћању, од датума доспећа рате Инвеститору се обрачунава камата прописана за неблаговремено плаћене јавне приходе, у складу са законом.</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F66E19">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19</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F66E19">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Инвеститор је дужан да пре пријаве радова прибави доказ о регулисању обавеза у погледу доприноса за уређивање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F66E19">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Доказ да је инвеститор извршио уплату доприноса за уређивање у целости односно прве рате, у случају да се плаћање врши у ратама, као и да је доставио одговарајуће средство обезбеђења плаћања, јесте потврда коју инвеститору издаје орган надлежан за обрачун доприноса.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20</w:t>
      </w:r>
    </w:p>
    <w:p w:rsidR="009358A7" w:rsidRPr="00FF7079" w:rsidRDefault="009358A7" w:rsidP="00797353">
      <w:pPr>
        <w:jc w:val="center"/>
        <w:rPr>
          <w:rFonts w:ascii="Times New Roman" w:hAnsi="Times New Roman" w:cs="Times New Roman"/>
          <w:b/>
          <w:color w:val="000000" w:themeColor="text1"/>
          <w:szCs w:val="24"/>
        </w:rPr>
      </w:pPr>
    </w:p>
    <w:p w:rsidR="00305244" w:rsidRPr="00FF7079" w:rsidRDefault="00305244" w:rsidP="00797353">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Орган надлежан за обрачун доприноса, у</w:t>
      </w:r>
      <w:r w:rsidR="00797353" w:rsidRPr="00FF7079">
        <w:rPr>
          <w:rFonts w:ascii="Times New Roman" w:hAnsi="Times New Roman" w:cs="Times New Roman"/>
          <w:color w:val="000000" w:themeColor="text1"/>
          <w:szCs w:val="24"/>
        </w:rPr>
        <w:t xml:space="preserve"> име и за рачун општине Рача</w:t>
      </w:r>
      <w:r w:rsidRPr="00FF7079">
        <w:rPr>
          <w:rFonts w:ascii="Times New Roman" w:hAnsi="Times New Roman" w:cs="Times New Roman"/>
          <w:color w:val="000000" w:themeColor="text1"/>
          <w:szCs w:val="24"/>
        </w:rPr>
        <w:t>, води евиденцију о обрачунатим доприносима, динамици измиривања, роковима плаћања месечних рата и предузима мере за реализацију средства обезбеђења у случају неплаћања, односно, уколико се ради о инвеститору који гради објекат из чл. 17. Одлуке,</w:t>
      </w:r>
      <w:r w:rsidR="00797353" w:rsidRPr="00FF7079">
        <w:rPr>
          <w:rFonts w:ascii="Times New Roman" w:hAnsi="Times New Roman" w:cs="Times New Roman"/>
          <w:color w:val="000000" w:themeColor="text1"/>
          <w:szCs w:val="24"/>
        </w:rPr>
        <w:t xml:space="preserve"> доставља Општин</w:t>
      </w:r>
      <w:r w:rsidRPr="00FF7079">
        <w:rPr>
          <w:rFonts w:ascii="Times New Roman" w:hAnsi="Times New Roman" w:cs="Times New Roman"/>
          <w:color w:val="000000" w:themeColor="text1"/>
          <w:szCs w:val="24"/>
        </w:rPr>
        <w:t>ском правобраниоцу потребну документацију ради подношења тужбе надлежном суду, и о томе обавештава огран који је издао грађевинску дозволу.</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Неплаћени износ доприноса принудно се наплаћује реализацијом приложеног средства обезбеђења или подношењем тужбе надлежном Суду, при чему инвеститор сноси трошкове реализације средства обезбеђења, односно судске трошкове, трошкове извршења и камату.</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xml:space="preserve">У случају наплате преосталог износа доприноса на начин из претходног става, инвеститор нема права прописана чл. 13. </w:t>
      </w:r>
      <w:r w:rsidR="009358A7" w:rsidRPr="00FF7079">
        <w:rPr>
          <w:rFonts w:ascii="Times New Roman" w:hAnsi="Times New Roman" w:cs="Times New Roman"/>
          <w:color w:val="000000" w:themeColor="text1"/>
          <w:szCs w:val="24"/>
        </w:rPr>
        <w:t>ст. 4</w:t>
      </w:r>
      <w:r w:rsidRPr="00FF7079">
        <w:rPr>
          <w:rFonts w:ascii="Times New Roman" w:hAnsi="Times New Roman" w:cs="Times New Roman"/>
          <w:color w:val="000000" w:themeColor="text1"/>
          <w:szCs w:val="24"/>
        </w:rPr>
        <w:t>. Одлуке.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21</w:t>
      </w:r>
    </w:p>
    <w:p w:rsidR="00305244" w:rsidRPr="00FF7079" w:rsidRDefault="00305244" w:rsidP="0034722D">
      <w:pPr>
        <w:jc w:val="both"/>
        <w:rPr>
          <w:rFonts w:ascii="Times New Roman" w:hAnsi="Times New Roman" w:cs="Times New Roman"/>
          <w:color w:val="000000" w:themeColor="text1"/>
          <w:szCs w:val="24"/>
        </w:rPr>
      </w:pPr>
    </w:p>
    <w:p w:rsidR="009217FD" w:rsidRPr="00FF7079" w:rsidRDefault="009217FD" w:rsidP="0034722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Уколико у току изградње настану измене у односу на грађевинску дозволу и инвеститор</w:t>
      </w:r>
    </w:p>
    <w:p w:rsidR="009217FD" w:rsidRPr="00FF7079" w:rsidRDefault="009217FD"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изгради већу површину обавезан је да достави нови пројекат за грађевинску дозволу, односносепарат за грађевинску дозволу на основу којих ће се сачинити обрачун доприноса за разликуу површини, који ће бити саставни део измењеног решења о грађевинској дозволи или пројекат изведеног објекта приликом издавања употребне дозволе, уколико одступања нису таква да јепотребна измена грађевинске дозволе.</w:t>
      </w:r>
    </w:p>
    <w:p w:rsidR="009217FD" w:rsidRPr="00FF7079" w:rsidRDefault="009217FD" w:rsidP="0034722D">
      <w:pPr>
        <w:ind w:firstLine="720"/>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p>
    <w:p w:rsidR="00415F6D" w:rsidRDefault="00415F6D" w:rsidP="0034722D">
      <w:pPr>
        <w:jc w:val="center"/>
        <w:rPr>
          <w:rFonts w:ascii="Times New Roman" w:hAnsi="Times New Roman" w:cs="Times New Roman"/>
          <w:b/>
          <w:color w:val="000000" w:themeColor="text1"/>
          <w:szCs w:val="24"/>
        </w:rPr>
      </w:pPr>
    </w:p>
    <w:p w:rsidR="00415F6D" w:rsidRDefault="00415F6D" w:rsidP="0034722D">
      <w:pPr>
        <w:jc w:val="center"/>
        <w:rPr>
          <w:rFonts w:ascii="Times New Roman" w:hAnsi="Times New Roman" w:cs="Times New Roman"/>
          <w:b/>
          <w:color w:val="000000" w:themeColor="text1"/>
          <w:szCs w:val="24"/>
        </w:rPr>
      </w:pPr>
    </w:p>
    <w:p w:rsidR="00415F6D" w:rsidRDefault="00415F6D" w:rsidP="0034722D">
      <w:pPr>
        <w:jc w:val="center"/>
        <w:rPr>
          <w:rFonts w:ascii="Times New Roman" w:hAnsi="Times New Roman" w:cs="Times New Roman"/>
          <w:b/>
          <w:color w:val="000000" w:themeColor="text1"/>
          <w:szCs w:val="24"/>
        </w:rPr>
      </w:pPr>
    </w:p>
    <w:p w:rsidR="00415F6D" w:rsidRDefault="00415F6D" w:rsidP="0034722D">
      <w:pPr>
        <w:jc w:val="center"/>
        <w:rPr>
          <w:rFonts w:ascii="Times New Roman" w:hAnsi="Times New Roman" w:cs="Times New Roman"/>
          <w:b/>
          <w:color w:val="000000" w:themeColor="text1"/>
          <w:szCs w:val="24"/>
        </w:rPr>
      </w:pPr>
    </w:p>
    <w:p w:rsidR="00415F6D" w:rsidRDefault="00415F6D" w:rsidP="0034722D">
      <w:pPr>
        <w:jc w:val="center"/>
        <w:rPr>
          <w:rFonts w:ascii="Times New Roman" w:hAnsi="Times New Roman" w:cs="Times New Roman"/>
          <w:b/>
          <w:color w:val="000000" w:themeColor="text1"/>
          <w:szCs w:val="24"/>
        </w:rPr>
      </w:pPr>
    </w:p>
    <w:p w:rsidR="00305244" w:rsidRPr="00FF7079" w:rsidRDefault="00305244" w:rsidP="0034722D">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22</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Уколико се врши промена намене објекта или дела објекта у намену за коју је прописан већи износ доприноса, инвеститор је у обавези да плати разлику до пуног износа доприноса за нову намену објекта за коју је прописан већи износ доприноса.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23</w:t>
      </w:r>
    </w:p>
    <w:p w:rsidR="00305244" w:rsidRPr="00FF7079" w:rsidRDefault="00305244" w:rsidP="0034722D">
      <w:pPr>
        <w:jc w:val="center"/>
        <w:rPr>
          <w:rFonts w:ascii="Times New Roman" w:hAnsi="Times New Roman" w:cs="Times New Roman"/>
          <w:b/>
          <w:color w:val="000000" w:themeColor="text1"/>
          <w:szCs w:val="24"/>
        </w:rPr>
      </w:pPr>
    </w:p>
    <w:p w:rsidR="00305244" w:rsidRPr="00FF7079" w:rsidRDefault="00305244" w:rsidP="0034722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За изградњу објекта који се гради уз услов уклањања постојећег објекта (уколико се ради о истим наменама објеката), а за који постоји уредна документација о изградњи или објекат уписан у јавној евиденцији о правима на непокретностима или је изграђен у периоду пре доношења прописа о изградњи, односно који је легализован или озакоњен, инвеститор плаћа допринос за уређивање грађевинског земљишта за разлику у нето површини објекта који гради и објекта који се уклања.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Уколико се ради о различитим наменама објекта који се уклања и објекта који се гради, инвеститор плаћа допринос у висини разлике доприноса утврђеног према намени објекта који се уклања и пуног износа доприноса за објекат који се гради.</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Локацијским условима за изградњу објекта инвеститор се упућује да се пре подношења захтева за добијање грађевинске дозволе обрати органу надлежном за обрачун доприноса ради обрачуна површине објекта који се уклања.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24</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662711">
      <w:pPr>
        <w:ind w:firstLine="720"/>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Саставни део решења о употребној дозволи је коначан обрачун доприноса који представља разлику у нето површинама пројектованог и изведеног стања.</w:t>
      </w:r>
    </w:p>
    <w:p w:rsidR="00305244" w:rsidRPr="00FF7079" w:rsidRDefault="00305244" w:rsidP="00662711">
      <w:pPr>
        <w:rPr>
          <w:rFonts w:ascii="Times New Roman" w:hAnsi="Times New Roman" w:cs="Times New Roman"/>
          <w:color w:val="000000" w:themeColor="text1"/>
          <w:szCs w:val="24"/>
        </w:rPr>
      </w:pPr>
    </w:p>
    <w:p w:rsidR="00305244" w:rsidRPr="00FF7079" w:rsidRDefault="00305244" w:rsidP="00662711">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Коначни обрачун доприноса врши орган надлежан за обрачун доприноса, по захтеву надлежног органа за издавање грађевинске дозволе, који уз захтев доставља документацију пропи</w:t>
      </w:r>
      <w:r w:rsidR="00662711" w:rsidRPr="00FF7079">
        <w:rPr>
          <w:rFonts w:ascii="Times New Roman" w:hAnsi="Times New Roman" w:cs="Times New Roman"/>
          <w:color w:val="000000" w:themeColor="text1"/>
          <w:szCs w:val="24"/>
        </w:rPr>
        <w:t>сану Законом и одговарајућим подз</w:t>
      </w:r>
      <w:r w:rsidRPr="00FF7079">
        <w:rPr>
          <w:rFonts w:ascii="Times New Roman" w:hAnsi="Times New Roman" w:cs="Times New Roman"/>
          <w:color w:val="000000" w:themeColor="text1"/>
          <w:szCs w:val="24"/>
        </w:rPr>
        <w:t>аконским актима.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662711">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Инвеститор је дужан да најкасније у року од 8 дана од дана пријема решења о употребној дозволи измири износ доприноса за уређивање грађевинског земљишта који је утврђен решењем о употребној дозволи, под претњом принудног извршења.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662711" w:rsidP="00662711">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 xml:space="preserve">III </w:t>
      </w:r>
      <w:r w:rsidR="00305244" w:rsidRPr="00FF7079">
        <w:rPr>
          <w:rFonts w:ascii="Times New Roman" w:hAnsi="Times New Roman" w:cs="Times New Roman"/>
          <w:b/>
          <w:color w:val="000000" w:themeColor="text1"/>
          <w:szCs w:val="24"/>
        </w:rPr>
        <w:t>ОБАВЕЗЕ ИНВЕСТИТОРА У ПОГЛЕДУ ОБЕЗБЕЂЕЊА ПРОСТОРА ЗА ПАРКИРАЊЕ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662711">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25</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662711">
      <w:pPr>
        <w:ind w:firstLine="720"/>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Инвеститори који граде објекте дужни су да обезбеде простор за паркирање на сопственој грађевинској парцели на којо</w:t>
      </w:r>
      <w:r w:rsidR="00662711" w:rsidRPr="00FF7079">
        <w:rPr>
          <w:rFonts w:ascii="Times New Roman" w:hAnsi="Times New Roman" w:cs="Times New Roman"/>
          <w:color w:val="000000" w:themeColor="text1"/>
          <w:szCs w:val="24"/>
        </w:rPr>
        <w:t>ј граде објекат, у складу са подз</w:t>
      </w:r>
      <w:r w:rsidRPr="00FF7079">
        <w:rPr>
          <w:rFonts w:ascii="Times New Roman" w:hAnsi="Times New Roman" w:cs="Times New Roman"/>
          <w:color w:val="000000" w:themeColor="text1"/>
          <w:szCs w:val="24"/>
        </w:rPr>
        <w:t>аконским актом о општим правилима за парцелацију, регулацију и изградњу.</w:t>
      </w:r>
    </w:p>
    <w:p w:rsidR="00305244" w:rsidRPr="00FF7079" w:rsidRDefault="00305244" w:rsidP="0034722D">
      <w:pPr>
        <w:jc w:val="both"/>
        <w:rPr>
          <w:rFonts w:ascii="Times New Roman" w:hAnsi="Times New Roman" w:cs="Times New Roman"/>
          <w:color w:val="000000" w:themeColor="text1"/>
          <w:szCs w:val="24"/>
        </w:rPr>
      </w:pPr>
    </w:p>
    <w:p w:rsidR="00662711" w:rsidRPr="00FF7079" w:rsidRDefault="00662711" w:rsidP="00662711">
      <w:pPr>
        <w:ind w:firstLine="720"/>
        <w:jc w:val="both"/>
        <w:rPr>
          <w:rFonts w:ascii="Times New Roman" w:hAnsi="Times New Roman" w:cs="Times New Roman"/>
          <w:color w:val="000000" w:themeColor="text1"/>
        </w:rPr>
      </w:pPr>
      <w:r w:rsidRPr="00FF7079">
        <w:rPr>
          <w:rFonts w:ascii="Times New Roman" w:hAnsi="Times New Roman" w:cs="Times New Roman"/>
          <w:color w:val="000000" w:themeColor="text1"/>
        </w:rPr>
        <w:t>Уколико инвеститор објекта, пре добијања грађевинске дозволе, пројектом за грађевинску дозволу не обезбеди важећим планским документом прописан број паркинг места на сопственој грађевинској парцели, обавезан је да плати допринос за уређивање грађевинског земљишта за изградњу јавних паркинг места, односно јавних гаража за недостајући број паркинг, односно гаражних места у износу утврђеном по обрачуну доприноса за површину потребну за недостајућа паркинг места, у складу са наменом објекта који се гради.</w:t>
      </w:r>
    </w:p>
    <w:p w:rsidR="00662711" w:rsidRPr="00FF7079" w:rsidRDefault="00662711" w:rsidP="00662711">
      <w:pPr>
        <w:jc w:val="both"/>
        <w:rPr>
          <w:rFonts w:ascii="Times New Roman" w:hAnsi="Times New Roman" w:cs="Times New Roman"/>
          <w:color w:val="000000" w:themeColor="text1"/>
        </w:rPr>
      </w:pPr>
    </w:p>
    <w:p w:rsidR="00662711" w:rsidRPr="00FF7079" w:rsidRDefault="00662711" w:rsidP="00662711">
      <w:pPr>
        <w:ind w:firstLine="720"/>
        <w:jc w:val="both"/>
        <w:rPr>
          <w:rFonts w:ascii="Times New Roman" w:hAnsi="Times New Roman" w:cs="Times New Roman"/>
          <w:color w:val="000000" w:themeColor="text1"/>
        </w:rPr>
      </w:pPr>
      <w:r w:rsidRPr="00FF7079">
        <w:rPr>
          <w:rFonts w:ascii="Times New Roman" w:hAnsi="Times New Roman" w:cs="Times New Roman"/>
          <w:color w:val="000000" w:themeColor="text1"/>
        </w:rPr>
        <w:t>Инвеститор је дужан да у оквиру сопствене парцеле обезбеди минимално 50% паркинг, односно гаражних места од укупног броја прописаних паркинг, односно гаражних места.</w:t>
      </w:r>
    </w:p>
    <w:p w:rsidR="00662711" w:rsidRPr="00FF7079" w:rsidRDefault="00662711" w:rsidP="00662711">
      <w:pPr>
        <w:ind w:firstLine="720"/>
        <w:jc w:val="both"/>
        <w:rPr>
          <w:rFonts w:ascii="Times New Roman" w:hAnsi="Times New Roman" w:cs="Times New Roman"/>
          <w:color w:val="000000" w:themeColor="text1"/>
        </w:rPr>
      </w:pPr>
    </w:p>
    <w:p w:rsidR="00662711" w:rsidRPr="00FF7079" w:rsidRDefault="00662711" w:rsidP="00662711">
      <w:pPr>
        <w:ind w:firstLine="720"/>
        <w:jc w:val="both"/>
        <w:rPr>
          <w:rFonts w:ascii="Times New Roman" w:hAnsi="Times New Roman" w:cs="Times New Roman"/>
          <w:color w:val="000000" w:themeColor="text1"/>
        </w:rPr>
      </w:pPr>
      <w:r w:rsidRPr="00FF7079">
        <w:rPr>
          <w:rFonts w:ascii="Times New Roman" w:hAnsi="Times New Roman" w:cs="Times New Roman"/>
          <w:color w:val="000000" w:themeColor="text1"/>
        </w:rPr>
        <w:t>Општина нема обавезу да инвеститору обезбеди паркинг, односно гаражно место.</w:t>
      </w:r>
    </w:p>
    <w:p w:rsidR="00662711" w:rsidRPr="00FF7079" w:rsidRDefault="00662711" w:rsidP="00662711">
      <w:pPr>
        <w:ind w:firstLine="720"/>
        <w:jc w:val="both"/>
        <w:rPr>
          <w:rFonts w:ascii="Times New Roman" w:hAnsi="Times New Roman" w:cs="Times New Roman"/>
          <w:color w:val="000000" w:themeColor="text1"/>
        </w:rPr>
      </w:pPr>
      <w:r w:rsidRPr="00FF7079">
        <w:rPr>
          <w:rFonts w:ascii="Times New Roman" w:hAnsi="Times New Roman" w:cs="Times New Roman"/>
          <w:color w:val="000000" w:themeColor="text1"/>
        </w:rPr>
        <w:t xml:space="preserve">Плаћање износа за недостајуће паркинг, односно гаражно место врши се једнократно пре издавања употребне дозволе, али без права на умањење за једнократну уплату из чл. </w:t>
      </w:r>
      <w:r w:rsidR="00F66E19" w:rsidRPr="00FF7079">
        <w:rPr>
          <w:rFonts w:ascii="Times New Roman" w:hAnsi="Times New Roman" w:cs="Times New Roman"/>
          <w:color w:val="000000" w:themeColor="text1"/>
        </w:rPr>
        <w:t>10</w:t>
      </w:r>
      <w:r w:rsidRPr="00FF7079">
        <w:rPr>
          <w:rFonts w:ascii="Times New Roman" w:hAnsi="Times New Roman" w:cs="Times New Roman"/>
          <w:color w:val="000000" w:themeColor="text1"/>
        </w:rPr>
        <w:t>. ове Одлуке.</w:t>
      </w:r>
    </w:p>
    <w:p w:rsidR="00662711" w:rsidRPr="00FF7079" w:rsidRDefault="00662711" w:rsidP="00662711">
      <w:pPr>
        <w:ind w:firstLine="720"/>
        <w:jc w:val="both"/>
        <w:rPr>
          <w:rFonts w:ascii="Times New Roman" w:hAnsi="Times New Roman" w:cs="Times New Roman"/>
          <w:color w:val="000000" w:themeColor="text1"/>
        </w:rPr>
      </w:pPr>
      <w:r w:rsidRPr="00FF7079">
        <w:rPr>
          <w:rFonts w:ascii="Times New Roman" w:hAnsi="Times New Roman" w:cs="Times New Roman"/>
          <w:color w:val="000000" w:themeColor="text1"/>
        </w:rPr>
        <w:t>Сви инвеститори који су пре доношења и ступања на снагу ове одлуке добили решење о грађевинској дозволи или решење о измени грађевинске дозволе у току изградње које је правоснажно-извршно, могу платити износ за недостајуће паркинг место једнократном уплатом пре издавања употребне дозволе.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662711" w:rsidP="00662711">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IV</w:t>
      </w:r>
      <w:r w:rsidR="00305244" w:rsidRPr="00FF7079">
        <w:rPr>
          <w:rFonts w:ascii="Times New Roman" w:hAnsi="Times New Roman" w:cs="Times New Roman"/>
          <w:b/>
          <w:color w:val="000000" w:themeColor="text1"/>
          <w:szCs w:val="24"/>
        </w:rPr>
        <w:t xml:space="preserve"> УРЕЂИВАЊЕ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26</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Уређивање грађевинског земљишта обухвата његово припремање и опремање.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1. Припремање грађевинског земљишта</w:t>
      </w:r>
    </w:p>
    <w:p w:rsidR="00305244" w:rsidRPr="00FF7079" w:rsidRDefault="00305244" w:rsidP="0034722D">
      <w:pPr>
        <w:jc w:val="both"/>
        <w:rPr>
          <w:rFonts w:ascii="Times New Roman" w:hAnsi="Times New Roman" w:cs="Times New Roman"/>
          <w:b/>
          <w:color w:val="000000" w:themeColor="text1"/>
          <w:szCs w:val="24"/>
        </w:rPr>
      </w:pPr>
    </w:p>
    <w:p w:rsidR="00305244" w:rsidRPr="00FF7079" w:rsidRDefault="00305244" w:rsidP="00797353">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27</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Припремање грађевинског земљишта обухвата: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истражне радове;</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израду геодетских, геолошких и других подлога;</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израду планске и техничке документације;</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израду програма за уређивање грађевинског земљишта и</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расељавање, уклањање објеката, санирање терена и друге радове.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2. Опремање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28</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Опремање грађевинског земљишта обухвата: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изградњу објеката комуналне инфраструктуре и</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изградњу и уређење површина јавне намене.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29</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577BDB">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xml:space="preserve">Трајно обезбеђивање послова обезбеђивања услова за уређивање, употребу, унапређивање и заштиту грађевинског </w:t>
      </w:r>
      <w:r w:rsidR="00577BDB" w:rsidRPr="00FF7079">
        <w:rPr>
          <w:rFonts w:ascii="Times New Roman" w:hAnsi="Times New Roman" w:cs="Times New Roman"/>
          <w:color w:val="000000" w:themeColor="text1"/>
          <w:szCs w:val="24"/>
        </w:rPr>
        <w:t>земљишта обавља Јавно предузећe за управљање и развој инфраструктурних објеката, из Раче.</w:t>
      </w:r>
    </w:p>
    <w:p w:rsidR="000E6429" w:rsidRPr="00FF7079" w:rsidRDefault="000E6429" w:rsidP="000E6429">
      <w:pPr>
        <w:pStyle w:val="NormalWeb"/>
        <w:spacing w:before="0" w:beforeAutospacing="0" w:after="0" w:afterAutospacing="0"/>
        <w:ind w:firstLine="720"/>
        <w:jc w:val="both"/>
        <w:rPr>
          <w:color w:val="000000" w:themeColor="text1"/>
        </w:rPr>
      </w:pPr>
      <w:r w:rsidRPr="00FF7079">
        <w:rPr>
          <w:color w:val="000000" w:themeColor="text1"/>
        </w:rPr>
        <w:t>Уређивање грађевинског земљишта обухвата припремање за изградњу и комунално опремање земљишта, према утврђеном садржају у средњорочном и годишњем програму уређења земљишта.</w:t>
      </w:r>
    </w:p>
    <w:p w:rsidR="00305244" w:rsidRPr="00FF7079" w:rsidRDefault="00305244" w:rsidP="0034722D">
      <w:pPr>
        <w:jc w:val="both"/>
        <w:rPr>
          <w:rFonts w:ascii="Times New Roman" w:hAnsi="Times New Roman" w:cs="Times New Roman"/>
          <w:color w:val="000000" w:themeColor="text1"/>
          <w:szCs w:val="24"/>
        </w:rPr>
      </w:pPr>
    </w:p>
    <w:p w:rsidR="002D6161" w:rsidRPr="00FF7079" w:rsidRDefault="002D6161" w:rsidP="002D6161">
      <w:pPr>
        <w:pStyle w:val="NormalWeb"/>
        <w:spacing w:before="0" w:beforeAutospacing="0" w:after="0" w:afterAutospacing="0"/>
        <w:ind w:firstLine="720"/>
        <w:jc w:val="both"/>
        <w:rPr>
          <w:color w:val="000000" w:themeColor="text1"/>
        </w:rPr>
      </w:pPr>
      <w:r w:rsidRPr="00FF7079">
        <w:rPr>
          <w:color w:val="000000" w:themeColor="text1"/>
        </w:rPr>
        <w:t>Програм из претходног става доноси Скупштина Општине на предлог</w:t>
      </w:r>
      <w:r w:rsidR="00A87400" w:rsidRPr="00FF7079">
        <w:rPr>
          <w:color w:val="000000" w:themeColor="text1"/>
        </w:rPr>
        <w:t xml:space="preserve"> Јавног предузећа за управљање и развој инфраструктурних објеката, из Раче, </w:t>
      </w:r>
      <w:r w:rsidRPr="00FF7079">
        <w:rPr>
          <w:color w:val="000000" w:themeColor="text1"/>
        </w:rPr>
        <w:t>које уређује грађевинско земљиште, а у складу са потребама грађана.</w:t>
      </w:r>
    </w:p>
    <w:p w:rsidR="00305244" w:rsidRPr="00FF7079" w:rsidRDefault="00305244" w:rsidP="0034722D">
      <w:pPr>
        <w:jc w:val="both"/>
        <w:rPr>
          <w:rFonts w:ascii="Times New Roman" w:hAnsi="Times New Roman" w:cs="Times New Roman"/>
          <w:color w:val="000000" w:themeColor="text1"/>
          <w:szCs w:val="24"/>
        </w:rPr>
      </w:pPr>
    </w:p>
    <w:p w:rsidR="00305244" w:rsidRPr="00A40C95" w:rsidRDefault="00305244" w:rsidP="00797353">
      <w:pPr>
        <w:jc w:val="center"/>
        <w:rPr>
          <w:rFonts w:ascii="Times New Roman" w:hAnsi="Times New Roman" w:cs="Times New Roman"/>
          <w:b/>
          <w:color w:val="000000" w:themeColor="text1"/>
          <w:szCs w:val="24"/>
        </w:rPr>
      </w:pPr>
      <w:r w:rsidRPr="00A40C95">
        <w:rPr>
          <w:rFonts w:ascii="Times New Roman" w:hAnsi="Times New Roman" w:cs="Times New Roman"/>
          <w:b/>
          <w:color w:val="000000" w:themeColor="text1"/>
          <w:szCs w:val="24"/>
        </w:rPr>
        <w:t>3. Извори финансирања уређивања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30</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Финансирање уређивања грађевинског земљишта обезбеђује се из средстава остварених од:</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1. доприноса за уређивање грађевинског земљишта;</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2. закупнине за грађевинско земљиште;</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3. отуђења или размене грађевинског земљишта;</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4. претварања права закупа у право својине у складу са Законом о планирању и изградњи и</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5. других извора у складу са законом.</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4. Припремање и опремање грађевинског земљишта средствима физичких или правних лица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31</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Грађевинско земљиште које није уређено у смислу Закона о планирању и изградњи (које није комунално опремљено за грађење и коришћење - изграђен приступни пут, водоводна и канализациона мрежа и обезбеђени други услови), а налази се у обухвату планског документа на основу кога се могу издати локацијски услови, односно грађевинска дозвола, може се припремити, односно опремити и средствима физичких или правних лица.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97353">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Лице које гради објекат на неуређеном грађевинском земљишту из члана 10. став 2. и 3. о</w:t>
      </w:r>
      <w:r w:rsidR="00797353" w:rsidRPr="00FF7079">
        <w:rPr>
          <w:rFonts w:ascii="Times New Roman" w:hAnsi="Times New Roman" w:cs="Times New Roman"/>
          <w:color w:val="000000" w:themeColor="text1"/>
          <w:szCs w:val="24"/>
        </w:rPr>
        <w:t>ве Одлуке подноси</w:t>
      </w:r>
      <w:r w:rsidR="00564D2A" w:rsidRPr="00FF7079">
        <w:rPr>
          <w:rFonts w:ascii="Times New Roman" w:hAnsi="Times New Roman" w:cs="Times New Roman"/>
          <w:color w:val="000000" w:themeColor="text1"/>
          <w:szCs w:val="24"/>
        </w:rPr>
        <w:t xml:space="preserve"> Јавном предузећу за управљање и развој инфраструктурних објеката, из Раче</w:t>
      </w:r>
      <w:r w:rsidRPr="00FF7079">
        <w:rPr>
          <w:rFonts w:ascii="Times New Roman" w:hAnsi="Times New Roman" w:cs="Times New Roman"/>
          <w:color w:val="000000" w:themeColor="text1"/>
          <w:szCs w:val="24"/>
        </w:rPr>
        <w:t>предлог о финансирању припремања, односно опремања грађевинског земљишта, по коме је исто дужно да поступи у року од 45 дана од дана пријема захтева.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0001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Уз предлог о финансирању лице из претходног става доставља: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локацијске услове,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доказ о решеним имовинско правним односима за парцелу на којој намерава да гради објекат,</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копију плана,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предлог динамике и рокова изградње,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пројектно техничку документацију.</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0001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Лице из става 2. овог члана, приликом изградње недостајуће инфраструктуре у обавези је да сноси све трошкове настале у вези изградње исте и то трошкове: решавања имовинско правних односа; пројектовања; изградње објекта; техничке контроле пројекта; техничког пријема објекта; трошкове измештања потребних инсталација; прикључка јавног осветљења; трошкове других прикључака и остале трошкове настале у поступку добијања потребних дозвола.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0001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Уколико на парцелама на којима се гради недостајућа инфраструктура нису реше</w:t>
      </w:r>
      <w:r w:rsidR="00E5573B" w:rsidRPr="00FF7079">
        <w:rPr>
          <w:rFonts w:ascii="Times New Roman" w:hAnsi="Times New Roman" w:cs="Times New Roman"/>
          <w:color w:val="000000" w:themeColor="text1"/>
          <w:szCs w:val="24"/>
        </w:rPr>
        <w:t>ни имовинско правни односи, Општина</w:t>
      </w:r>
      <w:r w:rsidRPr="00FF7079">
        <w:rPr>
          <w:rFonts w:ascii="Times New Roman" w:hAnsi="Times New Roman" w:cs="Times New Roman"/>
          <w:color w:val="000000" w:themeColor="text1"/>
          <w:szCs w:val="24"/>
        </w:rPr>
        <w:t xml:space="preserve"> ће са инвеститором закључити уговор о решавању имовинско правног односа. Након решава</w:t>
      </w:r>
      <w:r w:rsidR="00E5573B" w:rsidRPr="00FF7079">
        <w:rPr>
          <w:rFonts w:ascii="Times New Roman" w:hAnsi="Times New Roman" w:cs="Times New Roman"/>
          <w:color w:val="000000" w:themeColor="text1"/>
          <w:szCs w:val="24"/>
        </w:rPr>
        <w:t>ња имовинско правних односа Општина</w:t>
      </w:r>
      <w:r w:rsidRPr="00FF7079">
        <w:rPr>
          <w:rFonts w:ascii="Times New Roman" w:hAnsi="Times New Roman" w:cs="Times New Roman"/>
          <w:color w:val="000000" w:themeColor="text1"/>
          <w:szCs w:val="24"/>
        </w:rPr>
        <w:t xml:space="preserve"> ће са инвеститором закључити уговор о заједничком припремању односно опремању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415F6D" w:rsidRDefault="00305244" w:rsidP="00415F6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lastRenderedPageBreak/>
        <w:t>Трошкове решавања имовинско правних односа из става 5. овог члана сноси инвеститор.</w:t>
      </w:r>
    </w:p>
    <w:p w:rsidR="00305244" w:rsidRPr="00FF7079" w:rsidRDefault="00305244" w:rsidP="0070001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Допринос за уређивање грађевинског земљишта умањује се за трошкове из става 6. овог члана.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0001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Уколико је инвеститор власник катастарске парцеле или дела катастарске парцеле на којој се гради недостајућа инфраструктура, преноси својину ист</w:t>
      </w:r>
      <w:r w:rsidR="0070001D" w:rsidRPr="00FF7079">
        <w:rPr>
          <w:rFonts w:ascii="Times New Roman" w:hAnsi="Times New Roman" w:cs="Times New Roman"/>
          <w:color w:val="000000" w:themeColor="text1"/>
          <w:szCs w:val="24"/>
        </w:rPr>
        <w:t>е на Општину</w:t>
      </w:r>
      <w:r w:rsidRPr="00FF7079">
        <w:rPr>
          <w:rFonts w:ascii="Times New Roman" w:hAnsi="Times New Roman" w:cs="Times New Roman"/>
          <w:color w:val="000000" w:themeColor="text1"/>
          <w:szCs w:val="24"/>
        </w:rPr>
        <w:t xml:space="preserve"> без накнаде, а што се дефинише Уговором о решавању имовинско правних односа. </w:t>
      </w:r>
      <w:r w:rsidR="0070001D" w:rsidRPr="00FF7079">
        <w:rPr>
          <w:rFonts w:ascii="Times New Roman" w:hAnsi="Times New Roman" w:cs="Times New Roman"/>
          <w:color w:val="000000" w:themeColor="text1"/>
          <w:szCs w:val="24"/>
        </w:rPr>
        <w:t>Вредност пренете парцеле на Општину</w:t>
      </w:r>
      <w:r w:rsidRPr="00FF7079">
        <w:rPr>
          <w:rFonts w:ascii="Times New Roman" w:hAnsi="Times New Roman" w:cs="Times New Roman"/>
          <w:color w:val="000000" w:themeColor="text1"/>
          <w:szCs w:val="24"/>
        </w:rPr>
        <w:t xml:space="preserve"> ће бити урачуната у улагање инвеститора у недостајућу инфраструктуру уговором о заједничком припремању односно опремању грађевинског земљишта. Процену вредности парцеле врши Пореска управа.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70001D">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32</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564D2A">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xml:space="preserve">Након разматрања предлога лица из чл. 31. ст. 2. Одлуке, а на основу прибављене документације, </w:t>
      </w:r>
      <w:r w:rsidR="00564D2A" w:rsidRPr="00FF7079">
        <w:rPr>
          <w:rFonts w:ascii="Times New Roman" w:hAnsi="Times New Roman" w:cs="Times New Roman"/>
          <w:color w:val="000000" w:themeColor="text1"/>
          <w:szCs w:val="24"/>
        </w:rPr>
        <w:t xml:space="preserve">Јавно предузеће за управљање и развој инфраструктурних објеката, из Раче </w:t>
      </w:r>
      <w:r w:rsidRPr="00FF7079">
        <w:rPr>
          <w:rFonts w:ascii="Times New Roman" w:hAnsi="Times New Roman" w:cs="Times New Roman"/>
          <w:color w:val="000000" w:themeColor="text1"/>
          <w:szCs w:val="24"/>
        </w:rPr>
        <w:t>припрема елаборат о заједничком припремању и опремању грађевинског земљишта са предлогом уговора о заједничком припремању, односно опремању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415F6D" w:rsidRDefault="00305244" w:rsidP="00415F6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Елаборат из става 1. овог члана садржи:</w:t>
      </w: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податке о локацији, односно зони у којој се планира опремање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податке из планског документа и техничке услове за изградњу недостајуће инфраструктуре,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податке из програма уређивања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границу локације која се припрема, односно опрема са пописом катастарских парцела,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динамику и рок изградње недостајуће инфраструктуре,</w:t>
      </w:r>
    </w:p>
    <w:p w:rsidR="00305244" w:rsidRPr="00FF7079" w:rsidRDefault="00305244" w:rsidP="0034722D">
      <w:pPr>
        <w:jc w:val="both"/>
        <w:rPr>
          <w:rFonts w:ascii="Times New Roman" w:hAnsi="Times New Roman" w:cs="Times New Roman"/>
          <w:color w:val="000000" w:themeColor="text1"/>
          <w:szCs w:val="24"/>
        </w:rPr>
      </w:pPr>
    </w:p>
    <w:p w:rsidR="00564D2A" w:rsidRPr="00FF7079" w:rsidRDefault="00305244" w:rsidP="00564D2A">
      <w:pPr>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обавезу</w:t>
      </w:r>
      <w:r w:rsidR="00564D2A" w:rsidRPr="00FF7079">
        <w:rPr>
          <w:rFonts w:ascii="Times New Roman" w:hAnsi="Times New Roman" w:cs="Times New Roman"/>
          <w:color w:val="000000" w:themeColor="text1"/>
          <w:szCs w:val="24"/>
        </w:rPr>
        <w:t>Јавног предузећа за управљање и развој инфраструктурних објеката је да обезбедистручни надзор у извођењу радова,</w:t>
      </w:r>
    </w:p>
    <w:p w:rsidR="00564D2A" w:rsidRPr="00FF7079" w:rsidRDefault="00564D2A" w:rsidP="00564D2A">
      <w:pPr>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одређивање учешћа сваке уговорне стране у обезбеђивању, односно финансирању израде техничке документације и стручне контроле техничке документације, извођењу радова и избору извођача радова, као и других трошкова у вези са опремањем грађевинског земљишта, укључујући висину и рокове обезбеђивања финансијских и других средстава,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xml:space="preserve">- одређивање објеката који се граде и који ће прећи </w:t>
      </w:r>
      <w:r w:rsidR="00564D2A" w:rsidRPr="00FF7079">
        <w:rPr>
          <w:rFonts w:ascii="Times New Roman" w:hAnsi="Times New Roman" w:cs="Times New Roman"/>
          <w:color w:val="000000" w:themeColor="text1"/>
          <w:szCs w:val="24"/>
        </w:rPr>
        <w:t>у јавну својину јединице локалне самоуправе</w:t>
      </w:r>
      <w:r w:rsidRPr="00FF7079">
        <w:rPr>
          <w:rFonts w:ascii="Times New Roman" w:hAnsi="Times New Roman" w:cs="Times New Roman"/>
          <w:color w:val="000000" w:themeColor="text1"/>
          <w:szCs w:val="24"/>
        </w:rPr>
        <w:t>,</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одређивање износа учешћа лица из чл. 31. ст. 2. Одлуке у финансирању припремања, односно опремања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средства обезбеђења испуњења обавеза уговорних страна (меница коју инвеститор доставља након потписивања уговора са роком важења до добијања грађевинске дозволе на износ укупне процењене вредности недостајуће инфраструктуре и банкарска гаранција која се доставља непосредно пре добијања грађевинске дозволе са роком важења до добијања употребне дозволе на износ укупне процењене вредности недостајуће инфраструктуре који је умањен за износ пројектовања недостајуће инфраструктуре или банкарска гаранција коју инвеститор доставља након потписивања уговора са роком важења до добијања употребне дозволе на укупан износ процењене вредности недостајуће инфраструктуре).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EF31FC">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На предлог</w:t>
      </w:r>
      <w:r w:rsidR="00EF31FC" w:rsidRPr="00FF7079">
        <w:rPr>
          <w:rFonts w:ascii="Times New Roman" w:hAnsi="Times New Roman" w:cs="Times New Roman"/>
          <w:color w:val="000000" w:themeColor="text1"/>
          <w:szCs w:val="24"/>
        </w:rPr>
        <w:t xml:space="preserve"> Јавног предузећа за управљање и развој инфраструктурних објеката, из Раче</w:t>
      </w:r>
      <w:r w:rsidRPr="00FF7079">
        <w:rPr>
          <w:rFonts w:ascii="Times New Roman" w:hAnsi="Times New Roman" w:cs="Times New Roman"/>
          <w:color w:val="000000" w:themeColor="text1"/>
          <w:szCs w:val="24"/>
        </w:rPr>
        <w:t xml:space="preserve"> на елаборат и пред</w:t>
      </w:r>
      <w:r w:rsidR="00EF31FC" w:rsidRPr="00FF7079">
        <w:rPr>
          <w:rFonts w:ascii="Times New Roman" w:hAnsi="Times New Roman" w:cs="Times New Roman"/>
          <w:color w:val="000000" w:themeColor="text1"/>
          <w:szCs w:val="24"/>
        </w:rPr>
        <w:t>лог уговора сагласност даје Општинско веће општине Рача</w:t>
      </w:r>
      <w:r w:rsidRPr="00FF7079">
        <w:rPr>
          <w:rFonts w:ascii="Times New Roman" w:hAnsi="Times New Roman" w:cs="Times New Roman"/>
          <w:color w:val="000000" w:themeColor="text1"/>
          <w:szCs w:val="24"/>
        </w:rPr>
        <w:t>.</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EF31FC">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33</w:t>
      </w:r>
    </w:p>
    <w:p w:rsidR="00305244" w:rsidRPr="00FF7079" w:rsidRDefault="00305244" w:rsidP="0034722D">
      <w:pPr>
        <w:jc w:val="both"/>
        <w:rPr>
          <w:rFonts w:ascii="Times New Roman" w:hAnsi="Times New Roman" w:cs="Times New Roman"/>
          <w:color w:val="000000" w:themeColor="text1"/>
          <w:szCs w:val="24"/>
        </w:rPr>
      </w:pPr>
    </w:p>
    <w:p w:rsidR="00EF31FC" w:rsidRPr="00FF7079" w:rsidRDefault="00305244" w:rsidP="00EF31FC">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Након добијања сагласности од стран</w:t>
      </w:r>
      <w:r w:rsidR="00A87400" w:rsidRPr="00FF7079">
        <w:rPr>
          <w:rFonts w:ascii="Times New Roman" w:hAnsi="Times New Roman" w:cs="Times New Roman"/>
          <w:color w:val="000000" w:themeColor="text1"/>
          <w:szCs w:val="24"/>
        </w:rPr>
        <w:t>е Општинског већа општине Рача</w:t>
      </w:r>
      <w:r w:rsidRPr="00FF7079">
        <w:rPr>
          <w:rFonts w:ascii="Times New Roman" w:hAnsi="Times New Roman" w:cs="Times New Roman"/>
          <w:color w:val="000000" w:themeColor="text1"/>
          <w:szCs w:val="24"/>
        </w:rPr>
        <w:t xml:space="preserve"> на елаборат и предлог уговора, </w:t>
      </w:r>
      <w:r w:rsidR="00EF31FC" w:rsidRPr="00FF7079">
        <w:rPr>
          <w:rFonts w:ascii="Times New Roman" w:hAnsi="Times New Roman" w:cs="Times New Roman"/>
          <w:color w:val="000000" w:themeColor="text1"/>
          <w:szCs w:val="24"/>
        </w:rPr>
        <w:t>На основу елабората из члана 32. ове Одлуке закључује се Уговор о заједничкомприпремању, односно опремању грађевинског земљишта између лица из члана 31. став 2. Овеодлуке и Јавног предузећа за управљање и развој инфраструктурних објеката.</w:t>
      </w:r>
    </w:p>
    <w:p w:rsidR="00305244" w:rsidRPr="00FF7079" w:rsidRDefault="00305244" w:rsidP="00EF31FC">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Уговор о заједничком припремању, односно опремању грађе</w:t>
      </w:r>
      <w:r w:rsidR="00EF31FC" w:rsidRPr="00FF7079">
        <w:rPr>
          <w:rFonts w:ascii="Times New Roman" w:hAnsi="Times New Roman" w:cs="Times New Roman"/>
          <w:color w:val="000000" w:themeColor="text1"/>
          <w:szCs w:val="24"/>
        </w:rPr>
        <w:t xml:space="preserve">винског земљишта </w:t>
      </w:r>
      <w:r w:rsidRPr="00FF7079">
        <w:rPr>
          <w:rFonts w:ascii="Times New Roman" w:hAnsi="Times New Roman" w:cs="Times New Roman"/>
          <w:color w:val="000000" w:themeColor="text1"/>
          <w:szCs w:val="24"/>
        </w:rPr>
        <w:t>садржи</w:t>
      </w:r>
      <w:r w:rsidR="00EF31FC" w:rsidRPr="00FF7079">
        <w:rPr>
          <w:rFonts w:ascii="Times New Roman" w:hAnsi="Times New Roman" w:cs="Times New Roman"/>
          <w:color w:val="000000" w:themeColor="text1"/>
          <w:szCs w:val="24"/>
        </w:rPr>
        <w:t xml:space="preserve"> следеће</w:t>
      </w:r>
      <w:r w:rsidRPr="00FF7079">
        <w:rPr>
          <w:rFonts w:ascii="Times New Roman" w:hAnsi="Times New Roman" w:cs="Times New Roman"/>
          <w:color w:val="000000" w:themeColor="text1"/>
          <w:szCs w:val="24"/>
        </w:rPr>
        <w:t>:</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1) податке о локацији, односно зони у којој се планира опремања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2) податке из планског документа и техничке услове за изградњу;</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3) податке из програма уређивања грађевинског земљишта;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4) границе локације која се припрема, односно опрема са пописом катастарских парцела;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5) динамику и рок изградње;</w:t>
      </w:r>
    </w:p>
    <w:p w:rsidR="00305244" w:rsidRPr="00FF7079" w:rsidRDefault="00305244" w:rsidP="0034722D">
      <w:pPr>
        <w:jc w:val="both"/>
        <w:rPr>
          <w:rFonts w:ascii="Times New Roman" w:hAnsi="Times New Roman" w:cs="Times New Roman"/>
          <w:color w:val="000000" w:themeColor="text1"/>
          <w:szCs w:val="24"/>
        </w:rPr>
      </w:pPr>
    </w:p>
    <w:p w:rsidR="00EF31FC" w:rsidRPr="00FF7079" w:rsidRDefault="00305244" w:rsidP="00EF31FC">
      <w:pPr>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xml:space="preserve">6) </w:t>
      </w:r>
      <w:r w:rsidR="00EF31FC" w:rsidRPr="00FF7079">
        <w:rPr>
          <w:rFonts w:ascii="Times New Roman" w:hAnsi="Times New Roman" w:cs="Times New Roman"/>
          <w:color w:val="000000" w:themeColor="text1"/>
          <w:szCs w:val="24"/>
        </w:rPr>
        <w:t>обавезу Јавног предузећа за управљање и развој инфраструктурних објеката да обезбеди</w:t>
      </w:r>
    </w:p>
    <w:p w:rsidR="00EF31FC" w:rsidRPr="00FF7079" w:rsidRDefault="00EF31FC" w:rsidP="00EF31FC">
      <w:pPr>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стручни надзор у извођењу радова,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7) одређивање учешћа сваке уговорне стране у обезбеђивању, односно финансирању израде техничке документације и стручне контроле техничке документације, извођењу радова и избору извођача радова, као и других трошкова у вези са опремањем грађевинског земљишта, укључујући висину и рокове обезбеђивања финансијских и других средстава;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8) одређивање објеката који се граде и који ће прећи у својину јединице локалне самоуправе;</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9) одређивање износа учешћа лица из става 1. овог члана у финансирању припремања, односно опремања грађевинског земљишта за који ће бити умањен износ доприноса за уређивање грађевинског земљишта;</w:t>
      </w:r>
    </w:p>
    <w:p w:rsidR="00A915E9" w:rsidRPr="00FF7079" w:rsidRDefault="00A915E9" w:rsidP="0034722D">
      <w:pPr>
        <w:jc w:val="both"/>
        <w:rPr>
          <w:rFonts w:ascii="Times New Roman" w:hAnsi="Times New Roman" w:cs="Times New Roman"/>
          <w:color w:val="000000" w:themeColor="text1"/>
          <w:szCs w:val="24"/>
        </w:rPr>
      </w:pPr>
    </w:p>
    <w:p w:rsidR="00A915E9" w:rsidRPr="00FF7079" w:rsidRDefault="00A915E9" w:rsidP="00A915E9">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10) вредност земљишта које инвеститор уступа јединици локалне самоуправе за изградњуинфраструктурних објеката,</w:t>
      </w:r>
    </w:p>
    <w:p w:rsidR="00A915E9" w:rsidRPr="00FF7079" w:rsidRDefault="00A915E9" w:rsidP="0034722D">
      <w:pPr>
        <w:jc w:val="both"/>
        <w:rPr>
          <w:rFonts w:ascii="Times New Roman" w:hAnsi="Times New Roman" w:cs="Times New Roman"/>
          <w:color w:val="000000" w:themeColor="text1"/>
          <w:szCs w:val="24"/>
        </w:rPr>
      </w:pPr>
    </w:p>
    <w:p w:rsidR="00305244" w:rsidRPr="00FF7079" w:rsidRDefault="00A915E9" w:rsidP="0034722D">
      <w:pPr>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11</w:t>
      </w:r>
      <w:r w:rsidR="00305244" w:rsidRPr="00FF7079">
        <w:rPr>
          <w:rFonts w:ascii="Times New Roman" w:hAnsi="Times New Roman" w:cs="Times New Roman"/>
          <w:color w:val="000000" w:themeColor="text1"/>
          <w:szCs w:val="24"/>
        </w:rPr>
        <w:t>) средства обезбеђења испуњења обавеза уговорних страна.</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A915E9">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34</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305244" w:rsidP="0034722D">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На основу уговора из члана 33. Одлуке, за трошкове инфраструктурног опремања грађевинског земљишта средствима инвеститора, као и за вредност земљишта које ин</w:t>
      </w:r>
      <w:r w:rsidR="00995C9E" w:rsidRPr="00FF7079">
        <w:rPr>
          <w:rFonts w:ascii="Times New Roman" w:hAnsi="Times New Roman" w:cs="Times New Roman"/>
          <w:color w:val="000000" w:themeColor="text1"/>
          <w:szCs w:val="24"/>
        </w:rPr>
        <w:t>веститор уступа јединици локалне самоуправе</w:t>
      </w:r>
      <w:r w:rsidRPr="00FF7079">
        <w:rPr>
          <w:rFonts w:ascii="Times New Roman" w:hAnsi="Times New Roman" w:cs="Times New Roman"/>
          <w:color w:val="000000" w:themeColor="text1"/>
          <w:szCs w:val="24"/>
        </w:rPr>
        <w:t xml:space="preserve"> за изградњу инфраструктурних објеката, умањиће се износ доприноса за уређивање грађевинског земљишта."</w:t>
      </w:r>
    </w:p>
    <w:p w:rsidR="00305244" w:rsidRDefault="00305244" w:rsidP="0034722D">
      <w:pPr>
        <w:jc w:val="both"/>
        <w:rPr>
          <w:rFonts w:ascii="Times New Roman" w:hAnsi="Times New Roman" w:cs="Times New Roman"/>
          <w:color w:val="000000" w:themeColor="text1"/>
          <w:szCs w:val="24"/>
        </w:rPr>
      </w:pPr>
    </w:p>
    <w:p w:rsidR="00415F6D" w:rsidRDefault="00415F6D" w:rsidP="0034722D">
      <w:pPr>
        <w:jc w:val="both"/>
        <w:rPr>
          <w:rFonts w:ascii="Times New Roman" w:hAnsi="Times New Roman" w:cs="Times New Roman"/>
          <w:color w:val="000000" w:themeColor="text1"/>
          <w:szCs w:val="24"/>
        </w:rPr>
      </w:pPr>
    </w:p>
    <w:p w:rsidR="00415F6D" w:rsidRPr="00415F6D" w:rsidRDefault="00415F6D" w:rsidP="0034722D">
      <w:pPr>
        <w:jc w:val="both"/>
        <w:rPr>
          <w:rFonts w:ascii="Times New Roman" w:hAnsi="Times New Roman" w:cs="Times New Roman"/>
          <w:color w:val="000000" w:themeColor="text1"/>
          <w:szCs w:val="24"/>
        </w:rPr>
      </w:pPr>
    </w:p>
    <w:p w:rsidR="00305244" w:rsidRPr="00FF7079" w:rsidRDefault="00995C9E" w:rsidP="00995C9E">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V</w:t>
      </w:r>
      <w:r w:rsidR="00305244" w:rsidRPr="00FF7079">
        <w:rPr>
          <w:rFonts w:ascii="Times New Roman" w:hAnsi="Times New Roman" w:cs="Times New Roman"/>
          <w:b/>
          <w:color w:val="000000" w:themeColor="text1"/>
          <w:szCs w:val="24"/>
        </w:rPr>
        <w:t xml:space="preserve"> ПРЕЛАЗНЕ И ЗАВРШНЕ ОДРЕДБЕ</w:t>
      </w:r>
    </w:p>
    <w:p w:rsidR="00305244" w:rsidRPr="00FF7079" w:rsidRDefault="00305244" w:rsidP="0034722D">
      <w:pPr>
        <w:jc w:val="both"/>
        <w:rPr>
          <w:rFonts w:ascii="Times New Roman" w:hAnsi="Times New Roman" w:cs="Times New Roman"/>
          <w:b/>
          <w:color w:val="000000" w:themeColor="text1"/>
          <w:szCs w:val="24"/>
        </w:rPr>
      </w:pPr>
    </w:p>
    <w:p w:rsidR="00305244" w:rsidRPr="00FF7079" w:rsidRDefault="00305244" w:rsidP="00995C9E">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35</w:t>
      </w:r>
    </w:p>
    <w:p w:rsidR="00305244" w:rsidRPr="00FF7079" w:rsidRDefault="00305244" w:rsidP="0034722D">
      <w:pPr>
        <w:jc w:val="both"/>
        <w:rPr>
          <w:rFonts w:ascii="Times New Roman" w:hAnsi="Times New Roman" w:cs="Times New Roman"/>
          <w:color w:val="000000" w:themeColor="text1"/>
          <w:szCs w:val="24"/>
        </w:rPr>
      </w:pPr>
    </w:p>
    <w:p w:rsidR="00730AE9" w:rsidRPr="00FF7079" w:rsidRDefault="00305244" w:rsidP="00730AE9">
      <w:pPr>
        <w:ind w:firstLine="720"/>
        <w:jc w:val="both"/>
        <w:rPr>
          <w:rFonts w:ascii="Times New Roman" w:hAnsi="Times New Roman" w:cs="Times New Roman"/>
          <w:color w:val="000000" w:themeColor="text1"/>
          <w:szCs w:val="24"/>
        </w:rPr>
      </w:pPr>
      <w:r w:rsidRPr="00FF7079">
        <w:rPr>
          <w:rFonts w:ascii="Times New Roman" w:hAnsi="Times New Roman" w:cs="Times New Roman"/>
          <w:color w:val="000000" w:themeColor="text1"/>
          <w:szCs w:val="24"/>
        </w:rPr>
        <w:t xml:space="preserve">Инвеститори који су закључили уговоре </w:t>
      </w:r>
      <w:r w:rsidR="00730AE9" w:rsidRPr="00FF7079">
        <w:rPr>
          <w:rFonts w:ascii="Times New Roman" w:hAnsi="Times New Roman" w:cs="Times New Roman"/>
          <w:color w:val="000000" w:themeColor="text1"/>
          <w:szCs w:val="24"/>
        </w:rPr>
        <w:t>о регулисању накнаде за уређивањеграђевинског земљишта или исте закључе до ступања на снагу ове Одлуке у обавези су даплаћају накнаду за уређивање грађевинског земљишта у свему у складу са закљученимуговором.</w:t>
      </w:r>
    </w:p>
    <w:p w:rsidR="00730AE9" w:rsidRPr="00FF7079" w:rsidRDefault="00730AE9" w:rsidP="00730AE9">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E5573B" w:rsidP="00730AE9">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36</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A40C95" w:rsidP="0034722D">
      <w:pPr>
        <w:ind w:firstLine="720"/>
        <w:jc w:val="both"/>
        <w:rPr>
          <w:rFonts w:ascii="Times New Roman" w:hAnsi="Times New Roman" w:cs="Times New Roman"/>
          <w:color w:val="000000" w:themeColor="text1"/>
          <w:szCs w:val="24"/>
        </w:rPr>
      </w:pPr>
      <w:r>
        <w:rPr>
          <w:rFonts w:ascii="Times New Roman" w:hAnsi="Times New Roman" w:cs="Times New Roman"/>
          <w:color w:val="000000" w:themeColor="text1"/>
          <w:szCs w:val="24"/>
        </w:rPr>
        <w:t>Даном почетка примене ове o</w:t>
      </w:r>
      <w:r w:rsidR="00305244" w:rsidRPr="00FF7079">
        <w:rPr>
          <w:rFonts w:ascii="Times New Roman" w:hAnsi="Times New Roman" w:cs="Times New Roman"/>
          <w:color w:val="000000" w:themeColor="text1"/>
          <w:szCs w:val="24"/>
        </w:rPr>
        <w:t xml:space="preserve">длуке </w:t>
      </w:r>
      <w:r w:rsidR="00730AE9" w:rsidRPr="00FF7079">
        <w:rPr>
          <w:rFonts w:ascii="Times New Roman" w:hAnsi="Times New Roman" w:cs="Times New Roman"/>
          <w:color w:val="000000" w:themeColor="text1"/>
          <w:szCs w:val="24"/>
        </w:rPr>
        <w:t xml:space="preserve">престају да важе одредбе Одлуке о </w:t>
      </w:r>
      <w:r w:rsidR="00643BD9" w:rsidRPr="00FF7079">
        <w:rPr>
          <w:rFonts w:ascii="Times New Roman" w:hAnsi="Times New Roman" w:cs="Times New Roman"/>
          <w:color w:val="000000" w:themeColor="text1"/>
          <w:szCs w:val="24"/>
        </w:rPr>
        <w:t>начину утврђивања</w:t>
      </w:r>
      <w:r w:rsidR="00730AE9" w:rsidRPr="00FF7079">
        <w:rPr>
          <w:rFonts w:ascii="Times New Roman" w:hAnsi="Times New Roman" w:cs="Times New Roman"/>
          <w:color w:val="000000" w:themeColor="text1"/>
          <w:szCs w:val="24"/>
        </w:rPr>
        <w:t xml:space="preserve"> доприноса за уређивање грађевинског земљишта („Службени гласник општине Рача“ број</w:t>
      </w:r>
      <w:r>
        <w:rPr>
          <w:rFonts w:ascii="Times New Roman" w:hAnsi="Times New Roman" w:cs="Times New Roman"/>
          <w:color w:val="000000" w:themeColor="text1"/>
          <w:szCs w:val="24"/>
        </w:rPr>
        <w:t xml:space="preserve"> </w:t>
      </w:r>
      <w:r w:rsidR="00B32038">
        <w:rPr>
          <w:rFonts w:ascii="Times New Roman" w:hAnsi="Times New Roman" w:cs="Times New Roman"/>
          <w:color w:val="000000" w:themeColor="text1"/>
          <w:szCs w:val="24"/>
        </w:rPr>
        <w:t>25/2023</w:t>
      </w:r>
      <w:r w:rsidR="00730AE9" w:rsidRPr="00FF7079">
        <w:rPr>
          <w:rFonts w:ascii="Times New Roman" w:hAnsi="Times New Roman" w:cs="Times New Roman"/>
          <w:color w:val="000000" w:themeColor="text1"/>
          <w:szCs w:val="24"/>
        </w:rPr>
        <w:t>)</w:t>
      </w:r>
      <w:r w:rsidR="00643BD9" w:rsidRPr="00FF7079">
        <w:rPr>
          <w:rFonts w:ascii="Times New Roman" w:hAnsi="Times New Roman" w:cs="Times New Roman"/>
          <w:color w:val="000000" w:themeColor="text1"/>
          <w:szCs w:val="24"/>
        </w:rPr>
        <w:t>.</w:t>
      </w:r>
    </w:p>
    <w:p w:rsidR="00305244" w:rsidRPr="00FF7079" w:rsidRDefault="00305244" w:rsidP="0034722D">
      <w:pPr>
        <w:jc w:val="both"/>
        <w:rPr>
          <w:rFonts w:ascii="Times New Roman" w:hAnsi="Times New Roman" w:cs="Times New Roman"/>
          <w:color w:val="000000" w:themeColor="text1"/>
          <w:szCs w:val="24"/>
        </w:rPr>
      </w:pPr>
    </w:p>
    <w:p w:rsidR="00305244" w:rsidRPr="00FF7079" w:rsidRDefault="00E5573B" w:rsidP="00730AE9">
      <w:pPr>
        <w:jc w:val="center"/>
        <w:rPr>
          <w:rFonts w:ascii="Times New Roman" w:hAnsi="Times New Roman" w:cs="Times New Roman"/>
          <w:b/>
          <w:color w:val="000000" w:themeColor="text1"/>
          <w:szCs w:val="24"/>
        </w:rPr>
      </w:pPr>
      <w:r w:rsidRPr="00FF7079">
        <w:rPr>
          <w:rFonts w:ascii="Times New Roman" w:hAnsi="Times New Roman" w:cs="Times New Roman"/>
          <w:b/>
          <w:color w:val="000000" w:themeColor="text1"/>
          <w:szCs w:val="24"/>
        </w:rPr>
        <w:t>Члан 37</w:t>
      </w:r>
    </w:p>
    <w:p w:rsidR="00305244" w:rsidRPr="00FF7079" w:rsidRDefault="00305244" w:rsidP="0034722D">
      <w:pPr>
        <w:jc w:val="both"/>
        <w:rPr>
          <w:rFonts w:ascii="Times New Roman" w:hAnsi="Times New Roman" w:cs="Times New Roman"/>
          <w:color w:val="000000" w:themeColor="text1"/>
          <w:szCs w:val="24"/>
        </w:rPr>
      </w:pPr>
    </w:p>
    <w:p w:rsidR="00871072" w:rsidRPr="00FF7079" w:rsidRDefault="00A40C95" w:rsidP="00871072">
      <w:pPr>
        <w:ind w:firstLine="720"/>
        <w:rPr>
          <w:rFonts w:ascii="Times New Roman" w:hAnsi="Times New Roman" w:cs="Times New Roman"/>
          <w:color w:val="000000" w:themeColor="text1"/>
          <w:szCs w:val="24"/>
        </w:rPr>
      </w:pPr>
      <w:r>
        <w:rPr>
          <w:rFonts w:ascii="Times New Roman" w:hAnsi="Times New Roman" w:cs="Times New Roman"/>
          <w:color w:val="000000" w:themeColor="text1"/>
          <w:szCs w:val="24"/>
        </w:rPr>
        <w:t>Ова o</w:t>
      </w:r>
      <w:r w:rsidR="00871072" w:rsidRPr="00FF7079">
        <w:rPr>
          <w:rFonts w:ascii="Times New Roman" w:hAnsi="Times New Roman" w:cs="Times New Roman"/>
          <w:color w:val="000000" w:themeColor="text1"/>
          <w:szCs w:val="24"/>
        </w:rPr>
        <w:t>длука ступа на снагу осмог дана од дана обј</w:t>
      </w:r>
      <w:r>
        <w:rPr>
          <w:rFonts w:ascii="Times New Roman" w:hAnsi="Times New Roman" w:cs="Times New Roman"/>
          <w:color w:val="000000" w:themeColor="text1"/>
          <w:szCs w:val="24"/>
        </w:rPr>
        <w:t>ављивања у „Службеном гласнику o</w:t>
      </w:r>
      <w:r w:rsidR="00871072" w:rsidRPr="00FF7079">
        <w:rPr>
          <w:rFonts w:ascii="Times New Roman" w:hAnsi="Times New Roman" w:cs="Times New Roman"/>
          <w:color w:val="000000" w:themeColor="text1"/>
          <w:szCs w:val="24"/>
        </w:rPr>
        <w:t>пштине Рача“.</w:t>
      </w:r>
    </w:p>
    <w:p w:rsidR="00A40C95" w:rsidRDefault="00A40C95" w:rsidP="00B9572C">
      <w:pPr>
        <w:pStyle w:val="NormalWeb"/>
        <w:spacing w:before="0" w:beforeAutospacing="0" w:after="0" w:afterAutospacing="0"/>
        <w:jc w:val="center"/>
        <w:rPr>
          <w:b/>
          <w:bCs/>
          <w:color w:val="000000" w:themeColor="text1"/>
        </w:rPr>
      </w:pPr>
    </w:p>
    <w:p w:rsidR="00B9572C" w:rsidRPr="00FF7079" w:rsidRDefault="00B9572C" w:rsidP="00B9572C">
      <w:pPr>
        <w:pStyle w:val="NormalWeb"/>
        <w:spacing w:before="0" w:beforeAutospacing="0" w:after="0" w:afterAutospacing="0"/>
        <w:jc w:val="center"/>
        <w:rPr>
          <w:b/>
          <w:bCs/>
          <w:color w:val="000000" w:themeColor="text1"/>
        </w:rPr>
      </w:pPr>
      <w:r w:rsidRPr="00FF7079">
        <w:rPr>
          <w:b/>
          <w:bCs/>
          <w:color w:val="000000" w:themeColor="text1"/>
        </w:rPr>
        <w:t>О б р а з л о ж е њ е</w:t>
      </w:r>
    </w:p>
    <w:p w:rsidR="00B9572C" w:rsidRPr="00FF7079" w:rsidRDefault="00B9572C" w:rsidP="00B9572C">
      <w:pPr>
        <w:pStyle w:val="NormalWeb"/>
        <w:spacing w:before="0" w:beforeAutospacing="0" w:after="0" w:afterAutospacing="0"/>
        <w:jc w:val="center"/>
        <w:rPr>
          <w:color w:val="000000" w:themeColor="text1"/>
        </w:rPr>
      </w:pPr>
    </w:p>
    <w:p w:rsidR="00B9572C" w:rsidRPr="00FF7079" w:rsidRDefault="00B9572C" w:rsidP="00B9572C">
      <w:pPr>
        <w:pStyle w:val="NormalWeb"/>
        <w:spacing w:before="0" w:beforeAutospacing="0" w:after="0" w:afterAutospacing="0"/>
        <w:jc w:val="both"/>
        <w:rPr>
          <w:color w:val="000000" w:themeColor="text1"/>
        </w:rPr>
      </w:pPr>
      <w:r w:rsidRPr="00FF7079">
        <w:rPr>
          <w:rStyle w:val="apple-tab-span"/>
          <w:color w:val="000000" w:themeColor="text1"/>
        </w:rPr>
        <w:tab/>
      </w:r>
      <w:r w:rsidRPr="00FF7079">
        <w:rPr>
          <w:color w:val="000000" w:themeColor="text1"/>
        </w:rPr>
        <w:t xml:space="preserve">Правни основ за доношење Одлуке о утврђивању доприноса за уређење грађевинског земљишта садржан је у одредбама чл.97. став 5, Закона о планирању и изградњи </w:t>
      </w:r>
      <w:r w:rsidRPr="00FF7079">
        <w:rPr>
          <w:color w:val="000000" w:themeColor="text1"/>
          <w:lang w:val="ru-RU"/>
        </w:rPr>
        <w:t>изградњи (''Службени гласник Републике Србије'', број: 72/2009, 81/2009 – исправка, 64/2010 – одлука УС, 24/2011, 121/2012, 42/13 – одлука УС, 50/2013 – одлука УС, 98/2013 – одлука УС, 132/2014, 145/2014, 83/2018, 31/2019, 37/2019</w:t>
      </w:r>
      <w:r w:rsidR="00194BC0" w:rsidRPr="00FF7079">
        <w:rPr>
          <w:color w:val="000000" w:themeColor="text1"/>
        </w:rPr>
        <w:t>, 9/2020,</w:t>
      </w:r>
      <w:r w:rsidRPr="00FF7079">
        <w:rPr>
          <w:color w:val="000000" w:themeColor="text1"/>
        </w:rPr>
        <w:t xml:space="preserve"> 52/2021</w:t>
      </w:r>
      <w:r w:rsidR="00194BC0" w:rsidRPr="00FF7079">
        <w:rPr>
          <w:color w:val="000000" w:themeColor="text1"/>
        </w:rPr>
        <w:t xml:space="preserve"> и 62/2023</w:t>
      </w:r>
      <w:r w:rsidRPr="00FF7079">
        <w:rPr>
          <w:color w:val="000000" w:themeColor="text1"/>
          <w:lang w:val="ru-RU"/>
        </w:rPr>
        <w:t>)</w:t>
      </w:r>
      <w:r w:rsidRPr="00FF7079">
        <w:rPr>
          <w:color w:val="000000" w:themeColor="text1"/>
        </w:rPr>
        <w:t>којима је прописано да</w:t>
      </w:r>
      <w:r w:rsidR="00643BD9" w:rsidRPr="00FF7079">
        <w:rPr>
          <w:color w:val="000000" w:themeColor="text1"/>
        </w:rPr>
        <w:t>јединица локалне самоуправе најкасније до 30. новембра текуће године утврђује коефицијенте зоне и коефицијенте намене</w:t>
      </w:r>
      <w:r w:rsidRPr="00FF7079">
        <w:rPr>
          <w:color w:val="000000" w:themeColor="text1"/>
        </w:rPr>
        <w:t xml:space="preserve"> за обрачун доприноса за уређивање грађевинског земљишта, док је ставом 8. истог Закона прописано за које објекте се не обрачунава допринос.</w:t>
      </w:r>
    </w:p>
    <w:p w:rsidR="00871072" w:rsidRPr="00FF7079" w:rsidRDefault="00871072" w:rsidP="00871072">
      <w:pPr>
        <w:jc w:val="both"/>
        <w:rPr>
          <w:rFonts w:ascii="Times New Roman" w:hAnsi="Times New Roman" w:cs="Times New Roman"/>
          <w:color w:val="000000" w:themeColor="text1"/>
          <w:szCs w:val="24"/>
        </w:rPr>
      </w:pPr>
    </w:p>
    <w:p w:rsidR="00305244" w:rsidRPr="00FF7079" w:rsidRDefault="00305244" w:rsidP="0034722D">
      <w:pPr>
        <w:jc w:val="both"/>
        <w:rPr>
          <w:rFonts w:ascii="Times New Roman" w:hAnsi="Times New Roman" w:cs="Times New Roman"/>
          <w:color w:val="000000" w:themeColor="text1"/>
          <w:szCs w:val="24"/>
        </w:rPr>
      </w:pPr>
    </w:p>
    <w:p w:rsidR="00415F6D" w:rsidRDefault="00415F6D" w:rsidP="00415F6D">
      <w:pPr>
        <w:pStyle w:val="NoSpacing"/>
        <w:jc w:val="center"/>
        <w:rPr>
          <w:rFonts w:ascii="Times New Roman" w:hAnsi="Times New Roman"/>
          <w:b/>
          <w:sz w:val="24"/>
        </w:rPr>
      </w:pPr>
      <w:r>
        <w:rPr>
          <w:rFonts w:ascii="Times New Roman" w:hAnsi="Times New Roman"/>
          <w:b/>
          <w:sz w:val="24"/>
        </w:rPr>
        <w:t xml:space="preserve">ОПШТИНСКО ВЕЋЕ ОПШТИНЕ РАЧА                                                                             </w:t>
      </w:r>
    </w:p>
    <w:p w:rsidR="00415F6D" w:rsidRDefault="00415F6D" w:rsidP="00415F6D">
      <w:pPr>
        <w:pStyle w:val="NoSpacing"/>
        <w:rPr>
          <w:rFonts w:ascii="Times New Roman" w:hAnsi="Times New Roman"/>
          <w:b/>
          <w:sz w:val="24"/>
        </w:rPr>
      </w:pPr>
    </w:p>
    <w:p w:rsidR="00415F6D" w:rsidRDefault="00415F6D" w:rsidP="00415F6D">
      <w:pPr>
        <w:pStyle w:val="NoSpacing"/>
        <w:ind w:left="4320" w:firstLine="720"/>
        <w:rPr>
          <w:rFonts w:ascii="Times New Roman" w:hAnsi="Times New Roman" w:cs="Times New Roman"/>
          <w:b/>
          <w:sz w:val="22"/>
          <w:szCs w:val="22"/>
        </w:rPr>
      </w:pPr>
      <w:r>
        <w:rPr>
          <w:rFonts w:ascii="Times New Roman" w:hAnsi="Times New Roman"/>
          <w:b/>
          <w:sz w:val="24"/>
        </w:rPr>
        <w:t xml:space="preserve">             </w:t>
      </w:r>
      <w:r>
        <w:rPr>
          <w:rFonts w:ascii="Times New Roman" w:hAnsi="Times New Roman" w:cs="Times New Roman"/>
          <w:b/>
          <w:sz w:val="22"/>
          <w:szCs w:val="22"/>
        </w:rPr>
        <w:t xml:space="preserve">        ПРЕДСЕДНИК </w:t>
      </w:r>
    </w:p>
    <w:p w:rsidR="00415F6D" w:rsidRDefault="00415F6D" w:rsidP="00415F6D">
      <w:pPr>
        <w:tabs>
          <w:tab w:val="left" w:pos="6660"/>
        </w:tabs>
        <w:ind w:left="5760"/>
        <w:rPr>
          <w:rFonts w:ascii="Times New Roman" w:hAnsi="Times New Roman" w:cs="Times New Roman"/>
          <w:sz w:val="22"/>
        </w:rPr>
      </w:pPr>
      <w:r>
        <w:rPr>
          <w:rFonts w:ascii="Times New Roman" w:hAnsi="Times New Roman" w:cs="Times New Roman"/>
          <w:sz w:val="22"/>
        </w:rPr>
        <w:t xml:space="preserve">                                                                                                                  _____________________________</w:t>
      </w:r>
    </w:p>
    <w:p w:rsidR="00415F6D" w:rsidRDefault="00415F6D" w:rsidP="00415F6D">
      <w:pPr>
        <w:tabs>
          <w:tab w:val="left" w:pos="6660"/>
        </w:tabs>
        <w:rPr>
          <w:rFonts w:ascii="Times New Roman" w:hAnsi="Times New Roman" w:cs="Times New Roman"/>
          <w:sz w:val="22"/>
        </w:rPr>
      </w:pPr>
      <w:r>
        <w:rPr>
          <w:rFonts w:ascii="Times New Roman" w:hAnsi="Times New Roman" w:cs="Times New Roman"/>
          <w:b/>
          <w:sz w:val="22"/>
        </w:rPr>
        <w:t xml:space="preserve">                                                                                                                 </w:t>
      </w:r>
      <w:r>
        <w:rPr>
          <w:rFonts w:ascii="Times New Roman" w:hAnsi="Times New Roman" w:cs="Times New Roman"/>
          <w:sz w:val="22"/>
        </w:rPr>
        <w:t>Бранко Радосављевић</w:t>
      </w:r>
    </w:p>
    <w:p w:rsidR="00415F6D" w:rsidRDefault="00415F6D" w:rsidP="00415F6D">
      <w:pPr>
        <w:tabs>
          <w:tab w:val="left" w:pos="6660"/>
        </w:tabs>
        <w:rPr>
          <w:rFonts w:ascii="Times New Roman" w:hAnsi="Times New Roman" w:cs="Times New Roman"/>
          <w:b/>
          <w:sz w:val="22"/>
          <w:u w:val="single"/>
        </w:rPr>
      </w:pPr>
    </w:p>
    <w:p w:rsidR="00A40C95" w:rsidRDefault="00A40C95" w:rsidP="00415F6D">
      <w:pPr>
        <w:tabs>
          <w:tab w:val="left" w:pos="6660"/>
        </w:tabs>
        <w:rPr>
          <w:rFonts w:ascii="Times New Roman" w:hAnsi="Times New Roman" w:cs="Times New Roman"/>
          <w:b/>
          <w:sz w:val="22"/>
          <w:u w:val="single"/>
        </w:rPr>
      </w:pPr>
    </w:p>
    <w:p w:rsidR="00415F6D" w:rsidRDefault="00415F6D" w:rsidP="00415F6D">
      <w:pPr>
        <w:tabs>
          <w:tab w:val="left" w:pos="6660"/>
        </w:tabs>
        <w:rPr>
          <w:rFonts w:ascii="Times New Roman" w:hAnsi="Times New Roman" w:cs="Times New Roman"/>
          <w:sz w:val="22"/>
        </w:rPr>
      </w:pPr>
      <w:r>
        <w:rPr>
          <w:rFonts w:ascii="Times New Roman" w:hAnsi="Times New Roman" w:cs="Times New Roman"/>
          <w:b/>
          <w:sz w:val="22"/>
          <w:u w:val="single"/>
        </w:rPr>
        <w:t>Доставити:</w:t>
      </w:r>
    </w:p>
    <w:p w:rsidR="00415F6D" w:rsidRDefault="00415F6D" w:rsidP="00415F6D">
      <w:pPr>
        <w:pStyle w:val="ListParagraph"/>
        <w:numPr>
          <w:ilvl w:val="0"/>
          <w:numId w:val="1"/>
        </w:numPr>
        <w:spacing w:before="0" w:beforeAutospacing="0" w:after="200" w:afterAutospacing="0" w:line="276" w:lineRule="auto"/>
        <w:jc w:val="left"/>
        <w:rPr>
          <w:rFonts w:ascii="Times New Roman" w:hAnsi="Times New Roman" w:cs="Times New Roman"/>
          <w:sz w:val="22"/>
          <w:szCs w:val="22"/>
        </w:rPr>
      </w:pPr>
      <w:r>
        <w:rPr>
          <w:rFonts w:ascii="Times New Roman" w:hAnsi="Times New Roman" w:cs="Times New Roman"/>
          <w:sz w:val="22"/>
          <w:szCs w:val="22"/>
        </w:rPr>
        <w:t>Скупштини општине Рача;</w:t>
      </w:r>
    </w:p>
    <w:p w:rsidR="00415F6D" w:rsidRDefault="00415F6D" w:rsidP="00415F6D">
      <w:pPr>
        <w:pStyle w:val="ListParagraph"/>
        <w:numPr>
          <w:ilvl w:val="0"/>
          <w:numId w:val="1"/>
        </w:numPr>
        <w:spacing w:before="0" w:beforeAutospacing="0" w:after="200" w:afterAutospacing="0" w:line="276" w:lineRule="auto"/>
        <w:jc w:val="left"/>
        <w:rPr>
          <w:rFonts w:ascii="Times New Roman" w:hAnsi="Times New Roman" w:cs="Times New Roman"/>
          <w:sz w:val="22"/>
          <w:szCs w:val="22"/>
        </w:rPr>
      </w:pPr>
      <w:r>
        <w:rPr>
          <w:rFonts w:ascii="Times New Roman" w:hAnsi="Times New Roman" w:cs="Times New Roman"/>
          <w:sz w:val="22"/>
          <w:szCs w:val="22"/>
        </w:rPr>
        <w:t>а/а.</w:t>
      </w:r>
    </w:p>
    <w:p w:rsidR="00305244" w:rsidRPr="00FF7079" w:rsidRDefault="00305244" w:rsidP="0034722D">
      <w:pPr>
        <w:jc w:val="both"/>
        <w:rPr>
          <w:rFonts w:ascii="Times New Roman" w:hAnsi="Times New Roman" w:cs="Times New Roman"/>
          <w:b/>
          <w:color w:val="000000" w:themeColor="text1"/>
          <w:szCs w:val="24"/>
        </w:rPr>
      </w:pPr>
    </w:p>
    <w:sectPr w:rsidR="00305244" w:rsidRPr="00FF7079" w:rsidSect="007C62BF">
      <w:headerReference w:type="default" r:id="rId7"/>
      <w:pgSz w:w="11906" w:h="16838"/>
      <w:pgMar w:top="720" w:right="720" w:bottom="720" w:left="720"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37B" w:rsidRDefault="0052637B" w:rsidP="00415F6D">
      <w:r>
        <w:separator/>
      </w:r>
    </w:p>
  </w:endnote>
  <w:endnote w:type="continuationSeparator" w:id="1">
    <w:p w:rsidR="0052637B" w:rsidRDefault="0052637B" w:rsidP="00415F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37B" w:rsidRDefault="0052637B" w:rsidP="00415F6D">
      <w:r>
        <w:separator/>
      </w:r>
    </w:p>
  </w:footnote>
  <w:footnote w:type="continuationSeparator" w:id="1">
    <w:p w:rsidR="0052637B" w:rsidRDefault="0052637B" w:rsidP="00415F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241"/>
      <w:gridCol w:w="3333"/>
      <w:gridCol w:w="3074"/>
      <w:gridCol w:w="3034"/>
    </w:tblGrid>
    <w:tr w:rsidR="00415F6D" w:rsidTr="00B237C3">
      <w:trPr>
        <w:trHeight w:val="825"/>
      </w:trPr>
      <w:tc>
        <w:tcPr>
          <w:tcW w:w="581" w:type="pct"/>
          <w:vMerge w:val="restart"/>
        </w:tcPr>
        <w:p w:rsidR="00415F6D" w:rsidRDefault="00415F6D" w:rsidP="00B237C3">
          <w:pPr>
            <w:pStyle w:val="Header"/>
            <w:spacing w:before="40" w:after="40"/>
          </w:pPr>
          <w:r>
            <w:rPr>
              <w:noProof/>
            </w:rPr>
            <w:drawing>
              <wp:inline distT="0" distB="0" distL="0" distR="0">
                <wp:extent cx="643890" cy="643890"/>
                <wp:effectExtent l="0" t="0" r="0" b="0"/>
                <wp:docPr id="1"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1"/>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4419" w:type="pct"/>
          <w:gridSpan w:val="3"/>
          <w:tcBorders>
            <w:bottom w:val="double" w:sz="4" w:space="0" w:color="auto"/>
          </w:tcBorders>
          <w:vAlign w:val="center"/>
        </w:tcPr>
        <w:p w:rsidR="00415F6D" w:rsidRDefault="00415F6D" w:rsidP="00B237C3">
          <w:pPr>
            <w:pStyle w:val="Header"/>
            <w:jc w:val="center"/>
            <w:rPr>
              <w:b/>
            </w:rPr>
          </w:pPr>
          <w:r>
            <w:rPr>
              <w:b/>
            </w:rPr>
            <w:t>ОДЛУКА ОПШТИНСКОГ ВЕЋА</w:t>
          </w:r>
        </w:p>
      </w:tc>
    </w:tr>
    <w:tr w:rsidR="00415F6D" w:rsidTr="00B237C3">
      <w:trPr>
        <w:trHeight w:val="227"/>
      </w:trPr>
      <w:tc>
        <w:tcPr>
          <w:tcW w:w="581" w:type="pct"/>
          <w:vMerge/>
        </w:tcPr>
        <w:p w:rsidR="00415F6D" w:rsidRDefault="00415F6D" w:rsidP="00B237C3">
          <w:pPr>
            <w:pStyle w:val="Header"/>
          </w:pPr>
        </w:p>
      </w:tc>
      <w:tc>
        <w:tcPr>
          <w:tcW w:w="1560" w:type="pct"/>
          <w:tcBorders>
            <w:right w:val="dashSmallGap" w:sz="4" w:space="0" w:color="auto"/>
          </w:tcBorders>
          <w:vAlign w:val="center"/>
        </w:tcPr>
        <w:p w:rsidR="00415F6D" w:rsidRDefault="00415F6D" w:rsidP="00B237C3">
          <w:pPr>
            <w:pStyle w:val="Header"/>
            <w:jc w:val="center"/>
            <w:rPr>
              <w:sz w:val="20"/>
              <w:szCs w:val="20"/>
            </w:rPr>
          </w:pPr>
          <w:r>
            <w:rPr>
              <w:sz w:val="20"/>
              <w:szCs w:val="20"/>
            </w:rPr>
            <w:t>ОЗНАКА:С.08-03</w:t>
          </w:r>
        </w:p>
      </w:tc>
      <w:tc>
        <w:tcPr>
          <w:tcW w:w="1439" w:type="pct"/>
          <w:tcBorders>
            <w:left w:val="dashSmallGap" w:sz="4" w:space="0" w:color="auto"/>
            <w:right w:val="dashSmallGap" w:sz="4" w:space="0" w:color="auto"/>
          </w:tcBorders>
          <w:vAlign w:val="center"/>
        </w:tcPr>
        <w:p w:rsidR="00415F6D" w:rsidRDefault="00415F6D" w:rsidP="00B237C3">
          <w:pPr>
            <w:pStyle w:val="Header"/>
            <w:jc w:val="center"/>
            <w:rPr>
              <w:sz w:val="20"/>
              <w:szCs w:val="20"/>
            </w:rPr>
          </w:pPr>
          <w:r>
            <w:rPr>
              <w:sz w:val="20"/>
              <w:szCs w:val="20"/>
            </w:rPr>
            <w:t>ВЕРЗИЈА: 1</w:t>
          </w:r>
        </w:p>
      </w:tc>
      <w:tc>
        <w:tcPr>
          <w:tcW w:w="1420" w:type="pct"/>
          <w:tcBorders>
            <w:left w:val="dashSmallGap" w:sz="4" w:space="0" w:color="auto"/>
          </w:tcBorders>
          <w:vAlign w:val="center"/>
        </w:tcPr>
        <w:p w:rsidR="00415F6D" w:rsidRPr="00415F6D" w:rsidRDefault="00415F6D" w:rsidP="00B237C3">
          <w:pPr>
            <w:jc w:val="center"/>
            <w:rPr>
              <w:sz w:val="20"/>
              <w:szCs w:val="20"/>
            </w:rPr>
          </w:pPr>
          <w:r>
            <w:rPr>
              <w:sz w:val="20"/>
              <w:szCs w:val="20"/>
            </w:rPr>
            <w:t xml:space="preserve">Страница </w:t>
          </w:r>
          <w:r w:rsidR="00ED70B8">
            <w:rPr>
              <w:sz w:val="20"/>
              <w:szCs w:val="20"/>
            </w:rPr>
            <w:fldChar w:fldCharType="begin"/>
          </w:r>
          <w:r>
            <w:rPr>
              <w:sz w:val="20"/>
              <w:szCs w:val="20"/>
            </w:rPr>
            <w:instrText xml:space="preserve"> PAGE </w:instrText>
          </w:r>
          <w:r w:rsidR="00ED70B8">
            <w:rPr>
              <w:sz w:val="20"/>
              <w:szCs w:val="20"/>
            </w:rPr>
            <w:fldChar w:fldCharType="separate"/>
          </w:r>
          <w:r w:rsidR="00A40C95">
            <w:rPr>
              <w:noProof/>
              <w:sz w:val="20"/>
              <w:szCs w:val="20"/>
            </w:rPr>
            <w:t>1</w:t>
          </w:r>
          <w:r w:rsidR="00ED70B8">
            <w:rPr>
              <w:sz w:val="20"/>
              <w:szCs w:val="20"/>
            </w:rPr>
            <w:fldChar w:fldCharType="end"/>
          </w:r>
          <w:r>
            <w:rPr>
              <w:sz w:val="20"/>
              <w:szCs w:val="20"/>
            </w:rPr>
            <w:t xml:space="preserve"> од 16</w:t>
          </w:r>
        </w:p>
      </w:tc>
    </w:tr>
  </w:tbl>
  <w:p w:rsidR="00415F6D" w:rsidRDefault="00415F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7D25"/>
    <w:multiLevelType w:val="hybridMultilevel"/>
    <w:tmpl w:val="3C88A0E4"/>
    <w:lvl w:ilvl="0" w:tplc="C486F290">
      <w:numFmt w:val="bullet"/>
      <w:lvlText w:val="-"/>
      <w:lvlJc w:val="left"/>
      <w:pPr>
        <w:ind w:left="720" w:hanging="360"/>
      </w:pPr>
      <w:rPr>
        <w:rFonts w:ascii="Times New Roman" w:eastAsia="Calibri" w:hAnsi="Times New Roman" w:cs="Times New Roman" w:hint="default"/>
        <w:b w:val="0"/>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237E38"/>
    <w:rsid w:val="000623D7"/>
    <w:rsid w:val="00094005"/>
    <w:rsid w:val="000A766A"/>
    <w:rsid w:val="000A7B58"/>
    <w:rsid w:val="000A7E6D"/>
    <w:rsid w:val="000E6429"/>
    <w:rsid w:val="00115A8F"/>
    <w:rsid w:val="0012559F"/>
    <w:rsid w:val="00147B15"/>
    <w:rsid w:val="00194BC0"/>
    <w:rsid w:val="001B6867"/>
    <w:rsid w:val="001C0C35"/>
    <w:rsid w:val="001D0076"/>
    <w:rsid w:val="00226980"/>
    <w:rsid w:val="00237E38"/>
    <w:rsid w:val="00244C65"/>
    <w:rsid w:val="00245BA5"/>
    <w:rsid w:val="002557D3"/>
    <w:rsid w:val="00256282"/>
    <w:rsid w:val="002D4E20"/>
    <w:rsid w:val="002D6161"/>
    <w:rsid w:val="00305244"/>
    <w:rsid w:val="0032422B"/>
    <w:rsid w:val="0034722D"/>
    <w:rsid w:val="003930DB"/>
    <w:rsid w:val="003D3BB1"/>
    <w:rsid w:val="003D647D"/>
    <w:rsid w:val="00415F6D"/>
    <w:rsid w:val="004409E8"/>
    <w:rsid w:val="004A6DF6"/>
    <w:rsid w:val="0052637B"/>
    <w:rsid w:val="0056363A"/>
    <w:rsid w:val="00564D2A"/>
    <w:rsid w:val="00577BDB"/>
    <w:rsid w:val="00615578"/>
    <w:rsid w:val="00643BD9"/>
    <w:rsid w:val="00662711"/>
    <w:rsid w:val="00670834"/>
    <w:rsid w:val="0067118D"/>
    <w:rsid w:val="006D1F27"/>
    <w:rsid w:val="0070001D"/>
    <w:rsid w:val="00722262"/>
    <w:rsid w:val="00730AE9"/>
    <w:rsid w:val="0079261F"/>
    <w:rsid w:val="00797353"/>
    <w:rsid w:val="007A2547"/>
    <w:rsid w:val="007C62BF"/>
    <w:rsid w:val="007C7A0B"/>
    <w:rsid w:val="008471C7"/>
    <w:rsid w:val="00866C54"/>
    <w:rsid w:val="00870B78"/>
    <w:rsid w:val="00871072"/>
    <w:rsid w:val="008750F5"/>
    <w:rsid w:val="008C0C58"/>
    <w:rsid w:val="008F1FD9"/>
    <w:rsid w:val="0092138B"/>
    <w:rsid w:val="009217FD"/>
    <w:rsid w:val="009358A7"/>
    <w:rsid w:val="00995C9E"/>
    <w:rsid w:val="009B7C6E"/>
    <w:rsid w:val="00A40C95"/>
    <w:rsid w:val="00A46198"/>
    <w:rsid w:val="00A87400"/>
    <w:rsid w:val="00A915E9"/>
    <w:rsid w:val="00AA5D3B"/>
    <w:rsid w:val="00B32038"/>
    <w:rsid w:val="00B84DFC"/>
    <w:rsid w:val="00B9572C"/>
    <w:rsid w:val="00CA61CC"/>
    <w:rsid w:val="00D124FB"/>
    <w:rsid w:val="00D57A4D"/>
    <w:rsid w:val="00DD2091"/>
    <w:rsid w:val="00DD740A"/>
    <w:rsid w:val="00E233C3"/>
    <w:rsid w:val="00E5573B"/>
    <w:rsid w:val="00E632F9"/>
    <w:rsid w:val="00E90497"/>
    <w:rsid w:val="00ED70B8"/>
    <w:rsid w:val="00EF31FC"/>
    <w:rsid w:val="00F66E19"/>
    <w:rsid w:val="00FF4911"/>
    <w:rsid w:val="00FF70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47D"/>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6161"/>
    <w:pPr>
      <w:spacing w:before="100" w:beforeAutospacing="1" w:after="100" w:afterAutospacing="1"/>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9213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138B"/>
    <w:rPr>
      <w:rFonts w:ascii="Segoe UI" w:hAnsi="Segoe UI" w:cs="Segoe UI"/>
      <w:sz w:val="18"/>
      <w:szCs w:val="18"/>
    </w:rPr>
  </w:style>
  <w:style w:type="character" w:customStyle="1" w:styleId="apple-tab-span">
    <w:name w:val="apple-tab-span"/>
    <w:basedOn w:val="DefaultParagraphFont"/>
    <w:rsid w:val="00B9572C"/>
  </w:style>
  <w:style w:type="paragraph" w:styleId="Header">
    <w:name w:val="header"/>
    <w:basedOn w:val="Normal"/>
    <w:link w:val="HeaderChar"/>
    <w:unhideWhenUsed/>
    <w:qFormat/>
    <w:rsid w:val="00415F6D"/>
    <w:pPr>
      <w:tabs>
        <w:tab w:val="center" w:pos="4703"/>
        <w:tab w:val="right" w:pos="9406"/>
      </w:tabs>
    </w:pPr>
  </w:style>
  <w:style w:type="character" w:customStyle="1" w:styleId="HeaderChar">
    <w:name w:val="Header Char"/>
    <w:basedOn w:val="DefaultParagraphFont"/>
    <w:link w:val="Header"/>
    <w:qFormat/>
    <w:rsid w:val="00415F6D"/>
    <w:rPr>
      <w:sz w:val="24"/>
    </w:rPr>
  </w:style>
  <w:style w:type="paragraph" w:styleId="Footer">
    <w:name w:val="footer"/>
    <w:basedOn w:val="Normal"/>
    <w:link w:val="FooterChar"/>
    <w:uiPriority w:val="99"/>
    <w:semiHidden/>
    <w:unhideWhenUsed/>
    <w:rsid w:val="00415F6D"/>
    <w:pPr>
      <w:tabs>
        <w:tab w:val="center" w:pos="4703"/>
        <w:tab w:val="right" w:pos="9406"/>
      </w:tabs>
    </w:pPr>
  </w:style>
  <w:style w:type="character" w:customStyle="1" w:styleId="FooterChar">
    <w:name w:val="Footer Char"/>
    <w:basedOn w:val="DefaultParagraphFont"/>
    <w:link w:val="Footer"/>
    <w:uiPriority w:val="99"/>
    <w:semiHidden/>
    <w:rsid w:val="00415F6D"/>
    <w:rPr>
      <w:sz w:val="24"/>
    </w:rPr>
  </w:style>
  <w:style w:type="paragraph" w:styleId="ListParagraph">
    <w:name w:val="List Paragraph"/>
    <w:basedOn w:val="Normal"/>
    <w:uiPriority w:val="34"/>
    <w:qFormat/>
    <w:rsid w:val="00415F6D"/>
    <w:pPr>
      <w:spacing w:before="100" w:beforeAutospacing="1" w:after="100" w:afterAutospacing="1" w:line="360" w:lineRule="auto"/>
      <w:ind w:left="720"/>
      <w:contextualSpacing/>
      <w:jc w:val="both"/>
    </w:pPr>
    <w:rPr>
      <w:rFonts w:eastAsiaTheme="minorEastAsia"/>
      <w:sz w:val="21"/>
      <w:szCs w:val="21"/>
    </w:rPr>
  </w:style>
  <w:style w:type="paragraph" w:styleId="NoSpacing">
    <w:name w:val="No Spacing"/>
    <w:uiPriority w:val="1"/>
    <w:qFormat/>
    <w:rsid w:val="00415F6D"/>
    <w:pPr>
      <w:spacing w:beforeAutospacing="1" w:after="0" w:afterAutospacing="1" w:line="240" w:lineRule="auto"/>
      <w:jc w:val="both"/>
    </w:pPr>
    <w:rPr>
      <w:rFonts w:eastAsiaTheme="minorEastAsia"/>
      <w:sz w:val="21"/>
      <w:szCs w:val="21"/>
    </w:rPr>
  </w:style>
</w:styles>
</file>

<file path=word/webSettings.xml><?xml version="1.0" encoding="utf-8"?>
<w:webSettings xmlns:r="http://schemas.openxmlformats.org/officeDocument/2006/relationships" xmlns:w="http://schemas.openxmlformats.org/wordprocessingml/2006/main">
  <w:divs>
    <w:div w:id="368646043">
      <w:bodyDiv w:val="1"/>
      <w:marLeft w:val="0"/>
      <w:marRight w:val="0"/>
      <w:marTop w:val="0"/>
      <w:marBottom w:val="0"/>
      <w:divBdr>
        <w:top w:val="none" w:sz="0" w:space="0" w:color="auto"/>
        <w:left w:val="none" w:sz="0" w:space="0" w:color="auto"/>
        <w:bottom w:val="none" w:sz="0" w:space="0" w:color="auto"/>
        <w:right w:val="none" w:sz="0" w:space="0" w:color="auto"/>
      </w:divBdr>
    </w:div>
    <w:div w:id="579678862">
      <w:bodyDiv w:val="1"/>
      <w:marLeft w:val="0"/>
      <w:marRight w:val="0"/>
      <w:marTop w:val="0"/>
      <w:marBottom w:val="0"/>
      <w:divBdr>
        <w:top w:val="none" w:sz="0" w:space="0" w:color="auto"/>
        <w:left w:val="none" w:sz="0" w:space="0" w:color="auto"/>
        <w:bottom w:val="none" w:sz="0" w:space="0" w:color="auto"/>
        <w:right w:val="none" w:sz="0" w:space="0" w:color="auto"/>
      </w:divBdr>
    </w:div>
    <w:div w:id="58118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4004</TotalTime>
  <Pages>16</Pages>
  <Words>5337</Words>
  <Characters>30427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Bogdanovic</dc:creator>
  <cp:keywords/>
  <dc:description/>
  <cp:lastModifiedBy>sekre</cp:lastModifiedBy>
  <cp:revision>114</cp:revision>
  <cp:lastPrinted>2024-11-05T09:47:00Z</cp:lastPrinted>
  <dcterms:created xsi:type="dcterms:W3CDTF">2021-11-23T12:00:00Z</dcterms:created>
  <dcterms:modified xsi:type="dcterms:W3CDTF">2024-11-05T09:49:00Z</dcterms:modified>
</cp:coreProperties>
</file>