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4A0"/>
      </w:tblPr>
      <w:tblGrid>
        <w:gridCol w:w="5328"/>
      </w:tblGrid>
      <w:tr w:rsidR="00686888" w:rsidTr="00686888">
        <w:tc>
          <w:tcPr>
            <w:tcW w:w="5328" w:type="dxa"/>
          </w:tcPr>
          <w:p w:rsidR="00686888" w:rsidRDefault="00686888">
            <w:pP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РЕПУБЛИКА СРБИЈА –ОПШТИНА РАЧА</w:t>
            </w:r>
          </w:p>
        </w:tc>
      </w:tr>
      <w:tr w:rsidR="00686888" w:rsidTr="00686888">
        <w:tc>
          <w:tcPr>
            <w:tcW w:w="5328" w:type="dxa"/>
            <w:hideMark/>
          </w:tcPr>
          <w:p w:rsidR="00686888" w:rsidRDefault="00686888">
            <w:pPr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ОПШТИНСКО ВЕЋЕ ОПШТИНЕ РАЧА</w:t>
            </w:r>
          </w:p>
        </w:tc>
      </w:tr>
    </w:tbl>
    <w:p w:rsidR="00686888" w:rsidRDefault="00686888" w:rsidP="00686888">
      <w:pPr>
        <w:rPr>
          <w:rFonts w:ascii="Times New Roman" w:hAnsi="Times New Roman"/>
          <w:b/>
          <w:sz w:val="22"/>
          <w:szCs w:val="22"/>
          <w:lang w:val="sr-Latn-CS"/>
        </w:rPr>
      </w:pPr>
      <w:r>
        <w:rPr>
          <w:rFonts w:ascii="Times New Roman" w:hAnsi="Times New Roman"/>
          <w:b/>
          <w:lang w:val="sr-Cyrl-CS"/>
        </w:rPr>
        <w:t xml:space="preserve">Број: </w:t>
      </w:r>
      <w:r w:rsidR="00725334">
        <w:rPr>
          <w:rFonts w:ascii="Times New Roman" w:hAnsi="Times New Roman"/>
          <w:b/>
        </w:rPr>
        <w:t>021-304</w:t>
      </w:r>
      <w:r>
        <w:rPr>
          <w:rFonts w:ascii="Times New Roman" w:hAnsi="Times New Roman"/>
          <w:b/>
          <w:lang w:val="sr-Cyrl-CS"/>
        </w:rPr>
        <w:t>/20</w:t>
      </w:r>
      <w:r>
        <w:rPr>
          <w:rFonts w:ascii="Times New Roman" w:hAnsi="Times New Roman"/>
          <w:b/>
        </w:rPr>
        <w:t>24</w:t>
      </w:r>
      <w:r>
        <w:rPr>
          <w:rFonts w:ascii="Times New Roman" w:hAnsi="Times New Roman"/>
          <w:b/>
          <w:lang w:val="sr-Cyrl-CS"/>
        </w:rPr>
        <w:t>-</w:t>
      </w:r>
      <w:r>
        <w:rPr>
          <w:rFonts w:ascii="Times New Roman" w:hAnsi="Times New Roman"/>
          <w:b/>
        </w:rPr>
        <w:t>II-01</w:t>
      </w:r>
    </w:p>
    <w:p w:rsidR="00686888" w:rsidRDefault="00686888" w:rsidP="0068688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sr-Cyrl-CS"/>
        </w:rPr>
        <w:t>Датум:</w:t>
      </w:r>
      <w:r w:rsidR="001E0516">
        <w:rPr>
          <w:rFonts w:ascii="Times New Roman" w:hAnsi="Times New Roman"/>
          <w:b/>
        </w:rPr>
        <w:t>04</w:t>
      </w:r>
      <w:r w:rsidR="006F0EB0">
        <w:rPr>
          <w:rFonts w:ascii="Times New Roman" w:hAnsi="Times New Roman"/>
          <w:b/>
        </w:rPr>
        <w:t>.11</w:t>
      </w:r>
      <w:r>
        <w:rPr>
          <w:rFonts w:ascii="Times New Roman" w:hAnsi="Times New Roman"/>
          <w:b/>
          <w:lang w:val="sr-Cyrl-CS"/>
        </w:rPr>
        <w:t>.20</w:t>
      </w:r>
      <w:r>
        <w:rPr>
          <w:rFonts w:ascii="Times New Roman" w:hAnsi="Times New Roman"/>
          <w:b/>
        </w:rPr>
        <w:t>24</w:t>
      </w:r>
      <w:r>
        <w:rPr>
          <w:rFonts w:ascii="Times New Roman" w:hAnsi="Times New Roman"/>
          <w:b/>
          <w:lang w:val="sr-Cyrl-CS"/>
        </w:rPr>
        <w:t>. године</w:t>
      </w:r>
      <w:r>
        <w:rPr>
          <w:rFonts w:ascii="Times New Roman" w:hAnsi="Times New Roman"/>
          <w:b/>
        </w:rPr>
        <w:t>.</w:t>
      </w:r>
    </w:p>
    <w:p w:rsidR="00F55F78" w:rsidRPr="00886703" w:rsidRDefault="00886703" w:rsidP="00886703">
      <w:pPr>
        <w:pStyle w:val="NoSpacing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</w:rPr>
        <w:t xml:space="preserve">На основу члана 46. става 1. тачке 1) Закона о локалној самоуправи </w:t>
      </w:r>
      <w:r>
        <w:rPr>
          <w:rFonts w:ascii="Times New Roman" w:eastAsia="Times New Roman" w:hAnsi="Times New Roman"/>
        </w:rPr>
        <w:t>(“Сл. гласник РС”, број 129/2007, 83/2014-др. закон, 101/2016 др. закон,  47/2018 и 111/2021 – др.закон)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sr-Cyrl-CS"/>
        </w:rPr>
        <w:t xml:space="preserve">члана </w:t>
      </w:r>
      <w:r>
        <w:rPr>
          <w:rFonts w:ascii="Times New Roman" w:hAnsi="Times New Roman"/>
        </w:rPr>
        <w:t>71.</w:t>
      </w:r>
      <w:r>
        <w:rPr>
          <w:rFonts w:ascii="Times New Roman" w:hAnsi="Times New Roman"/>
          <w:lang w:val="sr-Cyrl-CS"/>
        </w:rPr>
        <w:t xml:space="preserve"> става 1. тачке 1) Статута општине Рача ("Сл. гласник општине Рача", број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lang w:val="sr-Cyrl-CS"/>
        </w:rPr>
        <w:t>/20</w:t>
      </w:r>
      <w:r>
        <w:rPr>
          <w:rFonts w:ascii="Times New Roman" w:hAnsi="Times New Roman"/>
        </w:rPr>
        <w:t>19) и члана 2. става 1. тачке 1)  Пословника о раду Општинског већа ("Сл. гласник општине Рача", број 22/20, 8/22 и 9/24)</w:t>
      </w:r>
      <w:r>
        <w:rPr>
          <w:rFonts w:ascii="Times New Roman" w:eastAsia="Times New Roman" w:hAnsi="Times New Roman"/>
        </w:rPr>
        <w:t xml:space="preserve">, а у вези са чланом </w:t>
      </w:r>
      <w:r w:rsidR="0010147F">
        <w:rPr>
          <w:rFonts w:ascii="Times New Roman" w:hAnsi="Times New Roman" w:cs="Times New Roman"/>
          <w:sz w:val="22"/>
          <w:szCs w:val="22"/>
        </w:rPr>
        <w:t>32. став</w:t>
      </w:r>
      <w:r>
        <w:rPr>
          <w:rFonts w:ascii="Times New Roman" w:hAnsi="Times New Roman" w:cs="Times New Roman"/>
          <w:sz w:val="22"/>
          <w:szCs w:val="22"/>
        </w:rPr>
        <w:t>oм 1. тачком</w:t>
      </w:r>
      <w:r w:rsidR="0010147F">
        <w:rPr>
          <w:rFonts w:ascii="Times New Roman" w:hAnsi="Times New Roman" w:cs="Times New Roman"/>
          <w:sz w:val="22"/>
          <w:szCs w:val="22"/>
        </w:rPr>
        <w:t xml:space="preserve"> 6) Закона о локалној сaмоуправи 129/2007, 83/2014 - др. закон, 101/2016 - др. закон, 47/2018 и 111/2021 - др. закон),</w:t>
      </w:r>
      <w:r w:rsidR="00D21EAB">
        <w:rPr>
          <w:rFonts w:ascii="Times New Roman" w:hAnsi="Times New Roman" w:cs="Times New Roman"/>
          <w:sz w:val="22"/>
          <w:szCs w:val="22"/>
        </w:rPr>
        <w:t xml:space="preserve"> </w:t>
      </w:r>
      <w:r w:rsidR="0010147F">
        <w:rPr>
          <w:rFonts w:ascii="Times New Roman" w:hAnsi="Times New Roman" w:cs="Times New Roman"/>
          <w:sz w:val="22"/>
          <w:szCs w:val="22"/>
        </w:rPr>
        <w:t>члан</w:t>
      </w:r>
      <w:r>
        <w:rPr>
          <w:rFonts w:ascii="Times New Roman" w:hAnsi="Times New Roman" w:cs="Times New Roman"/>
          <w:sz w:val="22"/>
          <w:szCs w:val="22"/>
        </w:rPr>
        <w:t>ом</w:t>
      </w:r>
      <w:r w:rsidR="0010147F">
        <w:rPr>
          <w:rFonts w:ascii="Times New Roman" w:hAnsi="Times New Roman" w:cs="Times New Roman"/>
          <w:sz w:val="22"/>
          <w:szCs w:val="22"/>
        </w:rPr>
        <w:t xml:space="preserve"> 213. Закона о социјалној заштити („Службени гласник РС“, бр. 24/2011 и 117/2022 – од</w:t>
      </w:r>
      <w:r>
        <w:rPr>
          <w:rFonts w:ascii="Times New Roman" w:hAnsi="Times New Roman" w:cs="Times New Roman"/>
          <w:sz w:val="22"/>
          <w:szCs w:val="22"/>
        </w:rPr>
        <w:t>лука Уставног суда), члановима 18. и</w:t>
      </w:r>
      <w:r w:rsidR="0010147F">
        <w:rPr>
          <w:rFonts w:ascii="Times New Roman" w:hAnsi="Times New Roman" w:cs="Times New Roman"/>
          <w:sz w:val="22"/>
          <w:szCs w:val="22"/>
        </w:rPr>
        <w:t xml:space="preserve"> 19. Одлуке о правима у социјалној заштити из надлежности општине Рача („Службени гласник општине Рача“, број 16</w:t>
      </w:r>
      <w:r>
        <w:rPr>
          <w:rFonts w:ascii="Times New Roman" w:hAnsi="Times New Roman" w:cs="Times New Roman"/>
          <w:sz w:val="22"/>
          <w:szCs w:val="22"/>
        </w:rPr>
        <w:t>/2022) и чланом</w:t>
      </w:r>
      <w:r w:rsidR="0010147F">
        <w:rPr>
          <w:rFonts w:ascii="Times New Roman" w:hAnsi="Times New Roman" w:cs="Times New Roman"/>
          <w:sz w:val="22"/>
          <w:szCs w:val="22"/>
        </w:rPr>
        <w:t xml:space="preserve"> 40.</w:t>
      </w:r>
      <w:r>
        <w:rPr>
          <w:rFonts w:ascii="Times New Roman" w:hAnsi="Times New Roman" w:cs="Times New Roman"/>
          <w:sz w:val="22"/>
          <w:szCs w:val="22"/>
        </w:rPr>
        <w:t xml:space="preserve"> ставoм 1. тачком 6) </w:t>
      </w:r>
      <w:r w:rsidR="0010147F">
        <w:rPr>
          <w:rFonts w:ascii="Times New Roman" w:hAnsi="Times New Roman" w:cs="Times New Roman"/>
          <w:sz w:val="22"/>
          <w:szCs w:val="22"/>
        </w:rPr>
        <w:t xml:space="preserve"> Статута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0147F">
        <w:rPr>
          <w:rFonts w:ascii="Times New Roman" w:hAnsi="Times New Roman" w:cs="Times New Roman"/>
          <w:sz w:val="22"/>
          <w:szCs w:val="22"/>
        </w:rPr>
        <w:t xml:space="preserve">општине Рача („Службени гласник општине Рача“, бр. 3/2019), </w:t>
      </w:r>
      <w:r>
        <w:rPr>
          <w:rFonts w:ascii="Times New Roman" w:hAnsi="Times New Roman" w:cs="Times New Roman"/>
          <w:sz w:val="22"/>
          <w:szCs w:val="22"/>
        </w:rPr>
        <w:t xml:space="preserve">Општинско веће </w:t>
      </w:r>
      <w:r w:rsidR="0010147F">
        <w:rPr>
          <w:rFonts w:ascii="Times New Roman" w:hAnsi="Times New Roman" w:cs="Times New Roman"/>
          <w:sz w:val="22"/>
          <w:szCs w:val="22"/>
        </w:rPr>
        <w:t xml:space="preserve">општине Рача, </w:t>
      </w:r>
      <w:r w:rsidR="001E0516">
        <w:rPr>
          <w:rFonts w:ascii="Times New Roman" w:hAnsi="Times New Roman" w:cs="Times New Roman"/>
          <w:sz w:val="22"/>
          <w:szCs w:val="22"/>
        </w:rPr>
        <w:t>на седници одржаној дана 04</w:t>
      </w:r>
      <w:r w:rsidR="006F0EB0">
        <w:rPr>
          <w:rFonts w:ascii="Times New Roman" w:hAnsi="Times New Roman" w:cs="Times New Roman"/>
          <w:sz w:val="22"/>
          <w:szCs w:val="22"/>
        </w:rPr>
        <w:t>.11</w:t>
      </w:r>
      <w:r w:rsidR="0010147F">
        <w:rPr>
          <w:rFonts w:ascii="Times New Roman" w:hAnsi="Times New Roman" w:cs="Times New Roman"/>
          <w:sz w:val="22"/>
          <w:szCs w:val="22"/>
        </w:rPr>
        <w:t>.2024. године,</w:t>
      </w:r>
      <w:r>
        <w:rPr>
          <w:rFonts w:ascii="Times New Roman" w:hAnsi="Times New Roman" w:cs="Times New Roman"/>
          <w:sz w:val="22"/>
          <w:szCs w:val="22"/>
        </w:rPr>
        <w:t>утврдило је предлог:</w:t>
      </w:r>
    </w:p>
    <w:p w:rsidR="00F55F78" w:rsidRDefault="00F55F78">
      <w:pPr>
        <w:spacing w:before="0" w:beforeAutospacing="0" w:after="0" w:afterAutospacing="0" w:line="240" w:lineRule="auto"/>
        <w:rPr>
          <w:rFonts w:ascii="Times New Roman" w:hAnsi="Times New Roman" w:cs="Times New Roman"/>
          <w:sz w:val="22"/>
          <w:szCs w:val="22"/>
        </w:rPr>
      </w:pPr>
    </w:p>
    <w:p w:rsidR="00886703" w:rsidRDefault="0088670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ОДЛУКЕ</w:t>
      </w:r>
    </w:p>
    <w:p w:rsidR="00F55F78" w:rsidRPr="00821723" w:rsidRDefault="0010147F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 О  УЧЕШЋУ КОРИСНИКА У ЦЕНИ УСЛУГЕ</w:t>
      </w:r>
      <w:r w:rsidR="00821723">
        <w:rPr>
          <w:rFonts w:ascii="Times New Roman" w:eastAsia="Times New Roman" w:hAnsi="Times New Roman" w:cs="Times New Roman"/>
          <w:b/>
          <w:sz w:val="22"/>
          <w:szCs w:val="22"/>
        </w:rPr>
        <w:t xml:space="preserve"> СОЦИЈАЛНЕ ЗАШТИТЕ</w:t>
      </w:r>
    </w:p>
    <w:p w:rsidR="00F55F78" w:rsidRDefault="00F55F78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Предмет уређивања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Члан 1.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>Овом Одлуком утврђују се критеријуми и мерила за одређивање учешћа корисника у плаћању цене услуге социјалне заштите, начин учешћа корисника у плаћању цене услуге, примања и приходи од утицаја на утврђивање социјално-економског статуса корисника, регресна скала и учешћа корисника у цени услуге, права и обавезе корисника, права и обавезе надлежног Центра за социјални рад и пружаоца услуге,  начин утврђивања учешћа корисника у плаћању цене услуге, о</w:t>
      </w:r>
      <w:r>
        <w:rPr>
          <w:rFonts w:ascii="Times New Roman" w:hAnsi="Times New Roman" w:cs="Times New Roman"/>
          <w:sz w:val="22"/>
          <w:szCs w:val="22"/>
          <w:lang/>
        </w:rPr>
        <w:t>бавеза преиспитивања учешћа и пријављивања промена.</w:t>
      </w: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 xml:space="preserve">Сви термини употребљени у овој одлуци, а који имају родно значење, изражени у граматичком мушком роду, подразумевају природни мушки и женски пол лица на који се односе. </w:t>
      </w: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Начин учешћа корисника у плаћању цене услуге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Члан 2.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41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Style w:val="IntenseEmphasis1"/>
          <w:rFonts w:ascii="Times New Roman" w:hAnsi="Times New Roman" w:cs="Times New Roman"/>
          <w:b w:val="0"/>
          <w:bCs/>
          <w:i w:val="0"/>
          <w:iCs/>
          <w:sz w:val="22"/>
          <w:szCs w:val="22"/>
          <w:u w:val="none"/>
          <w:lang w:val="ru-RU"/>
        </w:rPr>
        <w:t xml:space="preserve">Учешће корисника у плаћању </w:t>
      </w:r>
      <w:r>
        <w:rPr>
          <w:rStyle w:val="IntenseEmphasis1"/>
          <w:rFonts w:ascii="Times New Roman" w:hAnsi="Times New Roman" w:cs="Times New Roman"/>
          <w:b w:val="0"/>
          <w:bCs/>
          <w:i w:val="0"/>
          <w:iCs/>
          <w:sz w:val="22"/>
          <w:szCs w:val="22"/>
          <w:u w:val="none"/>
          <w:lang/>
        </w:rPr>
        <w:t xml:space="preserve">цене </w:t>
      </w:r>
      <w:r>
        <w:rPr>
          <w:rStyle w:val="IntenseEmphasis1"/>
          <w:rFonts w:ascii="Times New Roman" w:hAnsi="Times New Roman" w:cs="Times New Roman"/>
          <w:b w:val="0"/>
          <w:bCs/>
          <w:i w:val="0"/>
          <w:iCs/>
          <w:sz w:val="22"/>
          <w:szCs w:val="22"/>
          <w:u w:val="none"/>
          <w:lang w:val="ru-RU"/>
        </w:rPr>
        <w:t>услуга социјалне заштите</w:t>
      </w:r>
      <w:r>
        <w:rPr>
          <w:rStyle w:val="IntenseEmphasis1"/>
          <w:rFonts w:ascii="Times New Roman" w:hAnsi="Times New Roman" w:cs="Times New Roman"/>
          <w:b w:val="0"/>
          <w:bCs/>
          <w:i w:val="0"/>
          <w:iCs/>
          <w:sz w:val="22"/>
          <w:szCs w:val="22"/>
          <w:u w:val="none"/>
          <w:lang/>
        </w:rPr>
        <w:t>,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у зависности од социјално-економског статуса корисника може бити:</w:t>
      </w:r>
    </w:p>
    <w:p w:rsidR="007B0DE3" w:rsidRDefault="007B0DE3" w:rsidP="007B0DE3">
      <w:pPr>
        <w:spacing w:before="0" w:beforeAutospacing="0" w:after="0" w:afterAutospacing="0" w:line="240" w:lineRule="auto"/>
        <w:ind w:firstLine="41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7B0DE3" w:rsidRDefault="007B0DE3" w:rsidP="007B0DE3">
      <w:pPr>
        <w:pStyle w:val="ListParagraph"/>
        <w:numPr>
          <w:ilvl w:val="0"/>
          <w:numId w:val="1"/>
        </w:num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  <w:lang w:val="ru-RU"/>
        </w:rPr>
        <w:t xml:space="preserve">У целости из средстава корисника, његовог сродника или трећег лица </w:t>
      </w:r>
    </w:p>
    <w:p w:rsidR="007B0DE3" w:rsidRDefault="007B0DE3" w:rsidP="007B0DE3">
      <w:pPr>
        <w:pStyle w:val="ListParagraph"/>
        <w:numPr>
          <w:ilvl w:val="0"/>
          <w:numId w:val="1"/>
        </w:num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  <w:lang w:val="ru-RU"/>
        </w:rPr>
        <w:t>Уз делимично учешће корисника, његовог сродника, трећег лица и буџета Републике Србије</w:t>
      </w:r>
      <w:r>
        <w:rPr>
          <w:rFonts w:ascii="Times New Roman" w:eastAsia="Times New Roman" w:hAnsi="Times New Roman" w:cs="Times New Roman"/>
          <w:color w:val="333333"/>
          <w:sz w:val="22"/>
          <w:szCs w:val="22"/>
          <w:lang/>
        </w:rPr>
        <w:t xml:space="preserve"> или јединице локалне самоуправе. </w:t>
      </w:r>
    </w:p>
    <w:p w:rsidR="007B0DE3" w:rsidRDefault="007B0DE3" w:rsidP="007B0DE3">
      <w:pPr>
        <w:pStyle w:val="ListParagraph"/>
        <w:numPr>
          <w:ilvl w:val="0"/>
          <w:numId w:val="1"/>
        </w:num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color w:val="333333"/>
          <w:sz w:val="22"/>
          <w:szCs w:val="22"/>
          <w:lang w:val="ru-RU"/>
        </w:rPr>
        <w:lastRenderedPageBreak/>
        <w:t xml:space="preserve">У целости из буџета </w:t>
      </w:r>
      <w:r>
        <w:rPr>
          <w:rFonts w:ascii="Times New Roman" w:eastAsia="Times New Roman" w:hAnsi="Times New Roman" w:cs="Times New Roman"/>
          <w:color w:val="333333"/>
          <w:sz w:val="22"/>
          <w:szCs w:val="22"/>
          <w:lang/>
        </w:rPr>
        <w:t>јединице локалне самоуправе.</w:t>
      </w:r>
    </w:p>
    <w:p w:rsidR="007B0DE3" w:rsidRDefault="007B0DE3" w:rsidP="007B0DE3">
      <w:pPr>
        <w:shd w:val="clear" w:color="auto" w:fill="FFFFFF"/>
        <w:spacing w:before="0" w:beforeAutospacing="0" w:after="0" w:afterAutospacing="0" w:line="240" w:lineRule="auto"/>
        <w:jc w:val="left"/>
        <w:rPr>
          <w:rFonts w:ascii="Times New Roman" w:eastAsia="Times New Roman" w:hAnsi="Times New Roman" w:cs="Times New Roman"/>
          <w:color w:val="333333"/>
          <w:sz w:val="22"/>
          <w:szCs w:val="22"/>
          <w:lang w:val="ru-RU"/>
        </w:rPr>
      </w:pP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Примања и приходи од утицаја на утврђивање висине учешћ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 xml:space="preserve"> корисника у цени услуге 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Члан 3.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Примања и приходи од утицаја на утврђивање висине учешћа корисника у цени услуге чине: </w:t>
      </w:r>
    </w:p>
    <w:p w:rsidR="007B0DE3" w:rsidRDefault="007B0DE3" w:rsidP="007B0DE3">
      <w:pPr>
        <w:pStyle w:val="List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40" w:lineRule="auto"/>
        <w:contextualSpacing w:val="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Примања и приходи који се остварују у месечним износима, и то приход по основу радног односа, односно зарада, плата или накнаде зараде, повремених и привремених послова и уговора о делу, пензија, инвалиднина и друга примања по прописима борачко-инвалидске заштите; </w:t>
      </w:r>
    </w:p>
    <w:p w:rsidR="007B0DE3" w:rsidRDefault="007B0DE3" w:rsidP="007B0DE3">
      <w:pPr>
        <w:pStyle w:val="List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40" w:lineRule="auto"/>
        <w:contextualSpacing w:val="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>пр</w:t>
      </w:r>
      <w:r>
        <w:rPr>
          <w:rFonts w:ascii="Times New Roman" w:hAnsi="Times New Roman" w:cs="Times New Roman"/>
          <w:sz w:val="22"/>
          <w:szCs w:val="22"/>
          <w:lang w:val="ru-RU"/>
        </w:rPr>
        <w:t>иход по основу обављања самосталне делатности;</w:t>
      </w:r>
    </w:p>
    <w:p w:rsidR="007B0DE3" w:rsidRDefault="007B0DE3" w:rsidP="007B0DE3">
      <w:pPr>
        <w:pStyle w:val="ListParagraph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 w:line="240" w:lineRule="auto"/>
        <w:contextualSpacing w:val="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остали приходи који су утврђени </w:t>
      </w:r>
      <w:r>
        <w:rPr>
          <w:rFonts w:ascii="Times New Roman" w:hAnsi="Times New Roman" w:cs="Times New Roman"/>
          <w:sz w:val="22"/>
          <w:szCs w:val="22"/>
          <w:shd w:val="clear" w:color="auto" w:fill="FFFFFF" w:themeFill="background1"/>
          <w:lang w:val="ru-RU"/>
        </w:rPr>
        <w:t>налазом и мишљењем Центра за социјални рад у складу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са 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>подзаконским актом којим се уређују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примања и приходи који су од утицаја на остваривање права на новчану социјалну помоћ.</w:t>
      </w:r>
    </w:p>
    <w:p w:rsidR="007B0DE3" w:rsidRDefault="007B0DE3" w:rsidP="007B0DE3">
      <w:pPr>
        <w:spacing w:before="0" w:beforeAutospacing="0" w:after="0" w:afterAutospacing="0" w:line="240" w:lineRule="auto"/>
        <w:ind w:firstLine="450"/>
        <w:rPr>
          <w:rFonts w:ascii="Times New Roman" w:hAnsi="Times New Roman" w:cs="Times New Roman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450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/>
        </w:rPr>
        <w:t>Примања и приходи из става 1. овог члана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утврђују се у висини просечног месечног прихода </w:t>
      </w:r>
      <w:r>
        <w:rPr>
          <w:rFonts w:ascii="Times New Roman" w:hAnsi="Times New Roman" w:cs="Times New Roman"/>
          <w:sz w:val="22"/>
          <w:szCs w:val="22"/>
          <w:lang/>
        </w:rPr>
        <w:t xml:space="preserve">заједничког </w:t>
      </w:r>
      <w:r>
        <w:rPr>
          <w:rFonts w:ascii="Times New Roman" w:hAnsi="Times New Roman" w:cs="Times New Roman"/>
          <w:sz w:val="22"/>
          <w:szCs w:val="22"/>
          <w:lang w:val="ru-RU"/>
        </w:rPr>
        <w:t>домаћинства, оствареног у последња три месеца који претходе месецу у коме је поднет захтев за коришћење услуге.</w:t>
      </w:r>
    </w:p>
    <w:p w:rsidR="007B0DE3" w:rsidRDefault="007B0DE3" w:rsidP="007B0DE3">
      <w:pPr>
        <w:spacing w:before="0" w:beforeAutospacing="0" w:after="0" w:afterAutospacing="0" w:line="240" w:lineRule="auto"/>
        <w:ind w:firstLine="450"/>
        <w:rPr>
          <w:rFonts w:ascii="Times New Roman" w:hAnsi="Times New Roman" w:cs="Times New Roman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45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На примања и приходе заједничког домаћинства који се не узимају у обзир приликом одређивања учешћа корисника у цени услуге социјалне заштите,</w:t>
      </w:r>
      <w:r>
        <w:rPr>
          <w:rFonts w:ascii="Times New Roman" w:hAnsi="Times New Roman" w:cs="Times New Roman"/>
          <w:sz w:val="22"/>
          <w:szCs w:val="22"/>
          <w:lang/>
        </w:rPr>
        <w:t xml:space="preserve">примењује се 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>подзаконски акт којим се уређују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примања и приходи који су од утицаја на остваривање права на новчану социјалну помоћ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B0DE3" w:rsidRDefault="007B0DE3" w:rsidP="007B0DE3">
      <w:pPr>
        <w:spacing w:before="0" w:beforeAutospacing="0" w:after="0" w:afterAutospacing="0" w:line="240" w:lineRule="auto"/>
        <w:rPr>
          <w:rFonts w:ascii="Times New Roman" w:hAnsi="Times New Roman" w:cs="Times New Roman"/>
          <w:sz w:val="22"/>
          <w:szCs w:val="22"/>
        </w:rPr>
      </w:pP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Регресна скала и учешће корисника у цени услуге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Члан 4.</w:t>
      </w: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Регресна скала учешћа корисника, утврђује се у зависности од висине прихода заједничког домаћинстваи просечног месечног прихода домаћинства Републици Србији за конкретну услугу социјалне заштите које се пружају у општини Рача.  </w:t>
      </w: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Корисник који има сродника који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je 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>обвезник издржавања а није члан домаћинства, остварује право на учешће у цени услуга према регресној скали, с тим што се у укупне приходе урачунавају приходи чланова заједничког домаћинства и износ давања обвезника издржавања.</w:t>
      </w: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Обавеза учешћа корисника услуге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Помоћ у кући за старије особе и особе са инвалидитетом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 у плаћању цене услуге утврђује се у зависности од односа укупног месечног прихода заједничког домаћинства корисника и просечног месечног  прихода домаћинства у Републици Србији у складу са последњим званичним објављеним податком Републичког завода за статистику како следи: </w:t>
      </w:r>
    </w:p>
    <w:p w:rsidR="007B0DE3" w:rsidRDefault="007B0DE3" w:rsidP="007B0DE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/>
        </w:rPr>
      </w:pPr>
    </w:p>
    <w:tbl>
      <w:tblPr>
        <w:tblStyle w:val="TableGrid"/>
        <w:tblpPr w:leftFromText="180" w:rightFromText="180" w:vertAnchor="text" w:tblpY="182"/>
        <w:tblW w:w="0" w:type="auto"/>
        <w:tblLook w:val="04A0"/>
      </w:tblPr>
      <w:tblGrid>
        <w:gridCol w:w="5527"/>
        <w:gridCol w:w="1939"/>
        <w:gridCol w:w="1776"/>
      </w:tblGrid>
      <w:tr w:rsidR="007B0DE3" w:rsidTr="009D3DF5">
        <w:tc>
          <w:tcPr>
            <w:tcW w:w="566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/>
              </w:rPr>
              <w:t>Однос укупног месечног прихода заједничког домаћинства корисника и просечног месечног  прихода домаћинства у Републици Србији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  <w:t>Проценатучешћа корисника  у цени услуге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  <w:t>Проценат учешћа буџета општине у цени услуге</w:t>
            </w:r>
          </w:p>
        </w:tc>
      </w:tr>
      <w:tr w:rsidR="007B0DE3" w:rsidTr="009D3DF5">
        <w:trPr>
          <w:trHeight w:val="54"/>
        </w:trPr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До 40%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месечног прихода заједничког домаћинства у односу на просечни месечни приход домаћинства у РС </w:t>
            </w:r>
          </w:p>
          <w:p w:rsidR="007B0DE3" w:rsidRP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10%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90%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lastRenderedPageBreak/>
              <w:t xml:space="preserve">Од 40% до 60% 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20 %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80%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Од 60% до 80% 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30 %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70%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Од 80% до 100% 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40 %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60%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Преко 100% 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50 %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>50%</w:t>
            </w:r>
          </w:p>
        </w:tc>
      </w:tr>
    </w:tbl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color w:val="FF0000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Обавеза учешћа корисника услуге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Персоналног асистента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 у плаћању цене услуге утврђује се у зависности од категорије корисника, према следећем: </w:t>
      </w:r>
    </w:p>
    <w:p w:rsidR="007B0DE3" w:rsidRDefault="007B0DE3" w:rsidP="007B0DE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/>
        </w:rPr>
      </w:pPr>
    </w:p>
    <w:tbl>
      <w:tblPr>
        <w:tblStyle w:val="TableGrid"/>
        <w:tblpPr w:leftFromText="180" w:rightFromText="180" w:vertAnchor="text" w:tblpY="182"/>
        <w:tblW w:w="0" w:type="auto"/>
        <w:tblLook w:val="04A0"/>
      </w:tblPr>
      <w:tblGrid>
        <w:gridCol w:w="5527"/>
        <w:gridCol w:w="1939"/>
        <w:gridCol w:w="1776"/>
      </w:tblGrid>
      <w:tr w:rsidR="007B0DE3" w:rsidTr="009D3DF5">
        <w:tc>
          <w:tcPr>
            <w:tcW w:w="566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/>
              </w:rPr>
              <w:t>Однос укупног месечног прихода заједничког домаћинства корисника и просечног месечног  прихода домаћинства у Републици Србији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  <w:t>Проценатучешћа корисника  у цени услуге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  <w:t>Проценат учешћа буџета општине у цени услуге</w:t>
            </w:r>
          </w:p>
        </w:tc>
      </w:tr>
      <w:tr w:rsidR="007B0DE3" w:rsidTr="009D3DF5">
        <w:trPr>
          <w:trHeight w:val="54"/>
        </w:trPr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До 40%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5%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95%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Од 40% до 60%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10 %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90%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Од 60% до 80%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15 %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85%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Од 80% до 100%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20 %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80%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Преко 100%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25%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75%</w:t>
            </w:r>
          </w:p>
        </w:tc>
      </w:tr>
    </w:tbl>
    <w:p w:rsidR="007B0DE3" w:rsidRDefault="007B0DE3" w:rsidP="007B0DE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color w:val="FF0000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Обавеза учешћа корисника услуге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Лични пратилац детета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 у плаћању цене услуге утврђује се у зависности од категорије корисника, према следећем: </w:t>
      </w:r>
    </w:p>
    <w:p w:rsidR="007B0DE3" w:rsidRDefault="007B0DE3" w:rsidP="007B0DE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/>
        </w:rPr>
      </w:pPr>
    </w:p>
    <w:tbl>
      <w:tblPr>
        <w:tblStyle w:val="TableGrid"/>
        <w:tblpPr w:leftFromText="180" w:rightFromText="180" w:vertAnchor="text" w:tblpY="182"/>
        <w:tblW w:w="0" w:type="auto"/>
        <w:tblLook w:val="04A0"/>
      </w:tblPr>
      <w:tblGrid>
        <w:gridCol w:w="5527"/>
        <w:gridCol w:w="1939"/>
        <w:gridCol w:w="1776"/>
      </w:tblGrid>
      <w:tr w:rsidR="007B0DE3" w:rsidTr="009D3DF5">
        <w:tc>
          <w:tcPr>
            <w:tcW w:w="566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/>
              </w:rPr>
              <w:t>Однос укупног месечног прихода заједничког домаћинства корисника и просечног месечног  прихода домаћинства у Републици Србији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  <w:t>Проценатучешћа корисника  у цени услуге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/>
              </w:rPr>
              <w:t>Проценат учешћа буџета општине у цени услуге</w:t>
            </w:r>
          </w:p>
        </w:tc>
      </w:tr>
      <w:tr w:rsidR="007B0DE3" w:rsidTr="009D3DF5">
        <w:trPr>
          <w:trHeight w:val="54"/>
        </w:trPr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До 40%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5%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95%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lastRenderedPageBreak/>
              <w:t xml:space="preserve">Од 40% до 60%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10 %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90%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Од 60% до 80%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15 %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85%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Од 80% до 100%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20 %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80%</w:t>
            </w:r>
          </w:p>
        </w:tc>
      </w:tr>
      <w:tr w:rsidR="007B0DE3" w:rsidTr="009D3DF5">
        <w:tc>
          <w:tcPr>
            <w:tcW w:w="5665" w:type="dxa"/>
          </w:tcPr>
          <w:p w:rsidR="007B0DE3" w:rsidRDefault="007B0DE3" w:rsidP="009D3DF5">
            <w:pPr>
              <w:pStyle w:val="NoSpacing"/>
              <w:spacing w:beforeAutospacing="0" w:afterAutospacing="0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Преко 100%  </w:t>
            </w: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 xml:space="preserve"> укупног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/>
              </w:rPr>
              <w:t xml:space="preserve"> месечног прихода заједничког домаћинства у односу на просечни месечни приход домаћинства у РС </w:t>
            </w:r>
          </w:p>
        </w:tc>
        <w:tc>
          <w:tcPr>
            <w:tcW w:w="1555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25%</w:t>
            </w:r>
          </w:p>
        </w:tc>
        <w:tc>
          <w:tcPr>
            <w:tcW w:w="1796" w:type="dxa"/>
            <w:vAlign w:val="center"/>
          </w:tcPr>
          <w:p w:rsidR="007B0DE3" w:rsidRDefault="007B0DE3" w:rsidP="009D3DF5">
            <w:pPr>
              <w:pStyle w:val="NoSpacing"/>
              <w:spacing w:beforeAutospacing="0" w:afterAutospacing="0"/>
              <w:jc w:val="center"/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</w:pPr>
            <w:r>
              <w:rPr>
                <w:rFonts w:ascii="Times New Roman" w:hAnsi="Times New Roman" w:cs="Times New Roman"/>
                <w:i/>
                <w:iCs/>
                <w:color w:val="0070C0"/>
                <w:sz w:val="22"/>
                <w:szCs w:val="22"/>
                <w:lang/>
              </w:rPr>
              <w:t>75%</w:t>
            </w:r>
          </w:p>
        </w:tc>
      </w:tr>
    </w:tbl>
    <w:p w:rsidR="007B0DE3" w:rsidRDefault="007B0DE3" w:rsidP="007B0DE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Обвезник плаћања учешћа  коришћењу услуге Личног пратиоца детета је родитељ. </w:t>
      </w: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eastAsia="Times New Roman" w:hAnsi="Times New Roman" w:cs="Times New Roman"/>
          <w:color w:val="0070C0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  <w:lang/>
        </w:rPr>
      </w:pPr>
    </w:p>
    <w:p w:rsidR="007B0DE3" w:rsidRDefault="007B0DE3" w:rsidP="007B0DE3">
      <w:pPr>
        <w:spacing w:before="0" w:beforeAutospacing="0" w:after="0" w:afterAutospacing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>Изузеци од примене регресне скале</w:t>
      </w:r>
    </w:p>
    <w:p w:rsidR="007B0DE3" w:rsidRDefault="007B0DE3" w:rsidP="007B0DE3">
      <w:pPr>
        <w:spacing w:before="0" w:beforeAutospacing="0" w:after="0" w:afterAutospacing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/>
        </w:rPr>
        <w:t xml:space="preserve">Члан 5 </w:t>
      </w:r>
    </w:p>
    <w:p w:rsidR="007B0DE3" w:rsidRDefault="007B0DE3" w:rsidP="007B0DE3">
      <w:pPr>
        <w:spacing w:before="0" w:beforeAutospacing="0" w:after="120" w:afterAutospacing="0" w:line="240" w:lineRule="auto"/>
        <w:ind w:firstLine="720"/>
        <w:rPr>
          <w:rFonts w:ascii="Times New Roman" w:eastAsia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>Корисник који остварује право на додатак за помоћ и негу другог лица и право на увећани додатак за помоћ и негу другог лица, односно право на новчану накнаду за помоћ и негу другог лица по било ком основу, учествује са 20% износа тог додатка, односно накнаде у цени услуге Персонална асистенција и Лични пратилац детета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. </w:t>
      </w:r>
    </w:p>
    <w:p w:rsidR="007B0DE3" w:rsidRDefault="007B0DE3" w:rsidP="007B0DE3">
      <w:pPr>
        <w:spacing w:before="0" w:beforeAutospacing="0" w:after="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Корисници услуге социјалне заштите који су уједно и примаоци новчане социјалне помоћи ослобађају се обавезе учешћа у цени услуге. </w:t>
      </w:r>
    </w:p>
    <w:p w:rsidR="007B0DE3" w:rsidRDefault="007B0DE3" w:rsidP="007B0DE3">
      <w:pPr>
        <w:spacing w:before="0" w:beforeAutospacing="0" w:after="120" w:afterAutospacing="0" w:line="240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/>
        </w:rPr>
        <w:t>Давалац издржавања по основу уговора о доживотном издржавању закљученог са корисником услуге плаћа пуну цену услуге за корисника који је решењем Центра за социјални рад општине Рача упућен на коришћење услуге.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hAnsi="Times New Roman" w:cs="Times New Roman"/>
          <w:b/>
          <w:bCs/>
          <w:sz w:val="22"/>
          <w:szCs w:val="22"/>
          <w:lang/>
        </w:rPr>
        <w:t>Начин утврђивања учешћа корисника у цени услуге</w:t>
      </w:r>
    </w:p>
    <w:p w:rsidR="007B0DE3" w:rsidRDefault="007B0DE3" w:rsidP="007B0DE3">
      <w:pPr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hAnsi="Times New Roman" w:cs="Times New Roman"/>
          <w:b/>
          <w:bCs/>
          <w:sz w:val="22"/>
          <w:szCs w:val="22"/>
          <w:lang/>
        </w:rPr>
        <w:t>Члан 6.</w:t>
      </w:r>
    </w:p>
    <w:p w:rsidR="007B0DE3" w:rsidRDefault="007B0DE3" w:rsidP="007B0DE3">
      <w:pPr>
        <w:spacing w:before="0" w:beforeAutospacing="0" w:after="12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 xml:space="preserve">Решењем надлежног Центра за социјални рад  утврђује се процентуални и номинални износ учешћа корисника у цени услуге утврђене у складу са Одлуком о методологији формирања цене услуге општине Рача које корисник има да плати на име учешћа у цени услуге. </w:t>
      </w:r>
    </w:p>
    <w:p w:rsidR="007B0DE3" w:rsidRDefault="007B0DE3" w:rsidP="007B0DE3">
      <w:pPr>
        <w:spacing w:before="0" w:beforeAutospacing="0" w:after="12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 xml:space="preserve">Начин плаћања учешћа корисника у цени услуге регулише се уговором закљученим између општине, пружаоца  и корисника услуге. </w:t>
      </w:r>
    </w:p>
    <w:p w:rsidR="007B0DE3" w:rsidRDefault="007B0DE3" w:rsidP="007B0DE3">
      <w:pPr>
        <w:spacing w:before="0" w:beforeAutospacing="0" w:after="120" w:afterAutospacing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/>
        </w:rPr>
      </w:pPr>
    </w:p>
    <w:p w:rsidR="007B0DE3" w:rsidRDefault="007B0DE3" w:rsidP="007B0DE3">
      <w:pPr>
        <w:spacing w:before="0" w:beforeAutospacing="0" w:after="120" w:afterAutospacing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hAnsi="Times New Roman" w:cs="Times New Roman"/>
          <w:b/>
          <w:bCs/>
          <w:sz w:val="22"/>
          <w:szCs w:val="22"/>
          <w:lang/>
        </w:rPr>
        <w:t>Обавеза преиспитивања учешћа и пријављивања промена</w:t>
      </w:r>
    </w:p>
    <w:p w:rsidR="007B0DE3" w:rsidRDefault="007B0DE3" w:rsidP="007B0DE3">
      <w:pPr>
        <w:spacing w:before="0" w:beforeAutospacing="0" w:after="120" w:afterAutospacing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/>
        </w:rPr>
      </w:pPr>
      <w:r>
        <w:rPr>
          <w:rFonts w:ascii="Times New Roman" w:hAnsi="Times New Roman" w:cs="Times New Roman"/>
          <w:b/>
          <w:bCs/>
          <w:sz w:val="22"/>
          <w:szCs w:val="22"/>
          <w:lang/>
        </w:rPr>
        <w:t>Члан 7.</w:t>
      </w:r>
    </w:p>
    <w:p w:rsidR="007B0DE3" w:rsidRDefault="007B0DE3" w:rsidP="007B0DE3">
      <w:pPr>
        <w:spacing w:before="0" w:beforeAutospacing="0" w:after="12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>Центар за социјални рад на годишњем нивоу преиспитује промене од утицаја на учешће корисника у плаћању цене услуге, а н</w:t>
      </w:r>
      <w:r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  <w:lang/>
        </w:rPr>
        <w:t xml:space="preserve"> основу месечних прихода заједничког домаћинства остварених у претходна три месеца и промена просечног месечног прихода домаћинства у Републици Србији 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>према објављеним подацима Републичког завода за статистику.</w:t>
      </w:r>
    </w:p>
    <w:p w:rsidR="007B0DE3" w:rsidRDefault="007B0DE3" w:rsidP="007B0DE3">
      <w:pPr>
        <w:spacing w:before="0" w:beforeAutospacing="0" w:after="12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lastRenderedPageBreak/>
        <w:t>Корисник је дужан да пријави сваку промену у приходима домаћинства која је од утицаја на учешће у плаћању цене услуге.</w:t>
      </w:r>
    </w:p>
    <w:p w:rsidR="007B0DE3" w:rsidRDefault="007B0DE3" w:rsidP="007B0DE3">
      <w:pPr>
        <w:spacing w:before="0" w:beforeAutospacing="0" w:after="120" w:afterAutospacing="0" w:line="240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/>
        </w:rPr>
        <w:t>Надлежни Центар за социјални рад, у складу са пријавом из става 2. овог члана, доноси ново решење о утврђивању процента учешћа корисника у плаћању цене услуге, односно номиналног износа.</w:t>
      </w:r>
    </w:p>
    <w:p w:rsidR="007B0DE3" w:rsidRPr="007B0DE3" w:rsidRDefault="007B0DE3" w:rsidP="007B0DE3">
      <w:pPr>
        <w:spacing w:before="0" w:beforeAutospacing="0" w:after="120" w:afterAutospacing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/>
        </w:rPr>
      </w:pPr>
      <w:r w:rsidRPr="007B0DE3">
        <w:rPr>
          <w:rFonts w:ascii="Times New Roman" w:hAnsi="Times New Roman" w:cs="Times New Roman"/>
          <w:b/>
          <w:bCs/>
          <w:sz w:val="22"/>
          <w:szCs w:val="22"/>
          <w:lang/>
        </w:rPr>
        <w:t>Завршне одредбе</w:t>
      </w:r>
    </w:p>
    <w:p w:rsidR="007B0DE3" w:rsidRPr="007B0DE3" w:rsidRDefault="007B0DE3" w:rsidP="007B0DE3">
      <w:pPr>
        <w:spacing w:before="0" w:beforeAutospacing="0" w:after="120" w:afterAutospacing="0"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  <w:lang/>
        </w:rPr>
      </w:pPr>
      <w:r w:rsidRPr="007B0DE3">
        <w:rPr>
          <w:rFonts w:ascii="Times New Roman" w:hAnsi="Times New Roman" w:cs="Times New Roman"/>
          <w:b/>
          <w:bCs/>
          <w:sz w:val="22"/>
          <w:szCs w:val="22"/>
          <w:lang/>
        </w:rPr>
        <w:t xml:space="preserve">Члан </w:t>
      </w:r>
      <w:r w:rsidRPr="007B0DE3">
        <w:rPr>
          <w:rFonts w:ascii="Times New Roman" w:hAnsi="Times New Roman" w:cs="Times New Roman"/>
          <w:b/>
          <w:bCs/>
          <w:sz w:val="22"/>
          <w:szCs w:val="22"/>
          <w:lang w:val="ru-RU"/>
        </w:rPr>
        <w:t>8</w:t>
      </w:r>
      <w:r w:rsidRPr="007B0DE3">
        <w:rPr>
          <w:rFonts w:ascii="Times New Roman" w:hAnsi="Times New Roman" w:cs="Times New Roman"/>
          <w:b/>
          <w:bCs/>
          <w:sz w:val="22"/>
          <w:szCs w:val="22"/>
          <w:lang/>
        </w:rPr>
        <w:t>.</w:t>
      </w:r>
    </w:p>
    <w:p w:rsidR="007B0DE3" w:rsidRPr="007B0DE3" w:rsidRDefault="007B0DE3" w:rsidP="007B0DE3">
      <w:pPr>
        <w:spacing w:before="0" w:beforeAutospacing="0" w:after="120" w:afterAutospacing="0" w:line="240" w:lineRule="auto"/>
        <w:ind w:firstLine="720"/>
        <w:rPr>
          <w:rFonts w:ascii="Times New Roman" w:hAnsi="Times New Roman" w:cs="Times New Roman"/>
          <w:sz w:val="22"/>
          <w:szCs w:val="22"/>
          <w:lang/>
        </w:rPr>
      </w:pPr>
      <w:r>
        <w:rPr>
          <w:rFonts w:ascii="Times New Roman" w:hAnsi="Times New Roman" w:cs="Times New Roman"/>
          <w:sz w:val="22"/>
          <w:szCs w:val="22"/>
          <w:lang/>
        </w:rPr>
        <w:t xml:space="preserve">Ова </w:t>
      </w:r>
      <w:r>
        <w:rPr>
          <w:rFonts w:ascii="Times New Roman" w:hAnsi="Times New Roman" w:cs="Times New Roman"/>
          <w:sz w:val="22"/>
          <w:szCs w:val="22"/>
          <w:lang/>
        </w:rPr>
        <w:t>o</w:t>
      </w:r>
      <w:r w:rsidRPr="007B0DE3">
        <w:rPr>
          <w:rFonts w:ascii="Times New Roman" w:hAnsi="Times New Roman" w:cs="Times New Roman"/>
          <w:sz w:val="22"/>
          <w:szCs w:val="22"/>
          <w:lang/>
        </w:rPr>
        <w:t xml:space="preserve">длука ступа на снагу осмог дана од објављивања у „Сл. гласнику општине Рача“, 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  <w:lang/>
        </w:rPr>
        <w:t xml:space="preserve">док ће се одредбе ове </w:t>
      </w:r>
      <w:r>
        <w:rPr>
          <w:rFonts w:ascii="Times New Roman" w:hAnsi="Times New Roman" w:cs="Times New Roman"/>
          <w:sz w:val="22"/>
          <w:szCs w:val="22"/>
          <w:lang/>
        </w:rPr>
        <w:t>o</w:t>
      </w:r>
      <w:r w:rsidRPr="007B0DE3">
        <w:rPr>
          <w:rFonts w:ascii="Times New Roman" w:hAnsi="Times New Roman" w:cs="Times New Roman"/>
          <w:sz w:val="22"/>
          <w:szCs w:val="22"/>
          <w:lang/>
        </w:rPr>
        <w:t xml:space="preserve">длуке које се односе на пружање услуге 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>п</w:t>
      </w:r>
      <w:r w:rsidRPr="007B0DE3">
        <w:rPr>
          <w:rFonts w:ascii="Times New Roman" w:eastAsia="Times New Roman" w:hAnsi="Times New Roman" w:cs="Times New Roman"/>
          <w:sz w:val="22"/>
          <w:szCs w:val="22"/>
          <w:lang/>
        </w:rPr>
        <w:t>омоћ у кући за старије особе и особе са инвалидитетом</w:t>
      </w:r>
      <w:r>
        <w:rPr>
          <w:rFonts w:ascii="Times New Roman" w:eastAsia="Times New Roman" w:hAnsi="Times New Roman" w:cs="Times New Roman"/>
          <w:sz w:val="22"/>
          <w:szCs w:val="22"/>
          <w:lang/>
        </w:rPr>
        <w:t xml:space="preserve"> </w:t>
      </w:r>
      <w:r w:rsidRPr="007B0DE3">
        <w:rPr>
          <w:rFonts w:ascii="Times New Roman" w:hAnsi="Times New Roman" w:cs="Times New Roman"/>
          <w:sz w:val="22"/>
          <w:szCs w:val="22"/>
          <w:lang/>
        </w:rPr>
        <w:t xml:space="preserve">примењивати почев од </w:t>
      </w:r>
      <w:r w:rsidRPr="007B0DE3">
        <w:rPr>
          <w:rFonts w:ascii="Times New Roman" w:hAnsi="Times New Roman" w:cs="Times New Roman"/>
          <w:sz w:val="22"/>
          <w:szCs w:val="22"/>
          <w:lang/>
        </w:rPr>
        <w:t>01.01.</w:t>
      </w:r>
      <w:r w:rsidRPr="007B0DE3">
        <w:rPr>
          <w:rFonts w:ascii="Times New Roman" w:hAnsi="Times New Roman" w:cs="Times New Roman"/>
          <w:sz w:val="22"/>
          <w:szCs w:val="22"/>
          <w:lang/>
        </w:rPr>
        <w:t>2026.</w:t>
      </w:r>
      <w:r>
        <w:rPr>
          <w:rFonts w:ascii="Times New Roman" w:hAnsi="Times New Roman" w:cs="Times New Roman"/>
          <w:sz w:val="22"/>
          <w:szCs w:val="22"/>
          <w:lang/>
        </w:rPr>
        <w:t xml:space="preserve"> </w:t>
      </w:r>
      <w:r w:rsidRPr="007B0DE3">
        <w:rPr>
          <w:rFonts w:ascii="Times New Roman" w:hAnsi="Times New Roman" w:cs="Times New Roman"/>
          <w:sz w:val="22"/>
          <w:szCs w:val="22"/>
          <w:lang/>
        </w:rPr>
        <w:t xml:space="preserve">године. </w:t>
      </w:r>
    </w:p>
    <w:p w:rsidR="007B0DE3" w:rsidRDefault="007B0DE3" w:rsidP="007B0DE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color w:val="0000FF"/>
          <w:sz w:val="22"/>
          <w:szCs w:val="22"/>
          <w:lang/>
        </w:rPr>
      </w:pPr>
    </w:p>
    <w:p w:rsidR="00F55F78" w:rsidRDefault="00F55F78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4E3373" w:rsidRDefault="004E337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4E3373" w:rsidRDefault="004E3373" w:rsidP="004E3373">
      <w:pPr>
        <w:pStyle w:val="NoSpacing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ОПШТИНСКО ВЕЋЕ ОПШТИНЕ РАЧА                                                                             </w:t>
      </w:r>
    </w:p>
    <w:p w:rsidR="004E3373" w:rsidRPr="004E3373" w:rsidRDefault="004E3373" w:rsidP="004E3373">
      <w:pPr>
        <w:pStyle w:val="NoSpacing"/>
        <w:rPr>
          <w:rFonts w:ascii="Times New Roman" w:hAnsi="Times New Roman"/>
          <w:b/>
          <w:sz w:val="24"/>
        </w:rPr>
      </w:pPr>
    </w:p>
    <w:p w:rsidR="004E3373" w:rsidRDefault="004E3373" w:rsidP="004E3373">
      <w:pPr>
        <w:pStyle w:val="NoSpacing"/>
        <w:ind w:left="432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ПРЕДСЕДНИК </w:t>
      </w:r>
    </w:p>
    <w:p w:rsidR="004E3373" w:rsidRDefault="004E3373" w:rsidP="004E3373">
      <w:pPr>
        <w:tabs>
          <w:tab w:val="left" w:pos="6660"/>
        </w:tabs>
        <w:ind w:left="57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_____________________________</w:t>
      </w:r>
    </w:p>
    <w:p w:rsidR="004E3373" w:rsidRDefault="004E3373" w:rsidP="004E3373">
      <w:pPr>
        <w:tabs>
          <w:tab w:val="left" w:pos="666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7B0DE3">
        <w:rPr>
          <w:rFonts w:ascii="Times New Roman" w:hAnsi="Times New Roman" w:cs="Times New Roman"/>
          <w:b/>
          <w:sz w:val="22"/>
          <w:szCs w:val="22"/>
          <w:lang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>Бранко Радосављевић</w:t>
      </w:r>
    </w:p>
    <w:p w:rsidR="004E3373" w:rsidRDefault="004E3373" w:rsidP="004E3373">
      <w:pPr>
        <w:tabs>
          <w:tab w:val="left" w:pos="666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Доставити:</w:t>
      </w:r>
    </w:p>
    <w:p w:rsidR="004E3373" w:rsidRDefault="004E3373" w:rsidP="004E3373">
      <w:pPr>
        <w:pStyle w:val="ListParagraph"/>
        <w:numPr>
          <w:ilvl w:val="0"/>
          <w:numId w:val="3"/>
        </w:numPr>
        <w:spacing w:before="0" w:beforeAutospacing="0" w:after="200" w:afterAutospacing="0" w:line="276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Скупштини општине Рача;</w:t>
      </w:r>
    </w:p>
    <w:p w:rsidR="004E3373" w:rsidRDefault="004E3373" w:rsidP="004E3373">
      <w:pPr>
        <w:pStyle w:val="ListParagraph"/>
        <w:numPr>
          <w:ilvl w:val="0"/>
          <w:numId w:val="3"/>
        </w:numPr>
        <w:spacing w:before="0" w:beforeAutospacing="0" w:after="200" w:afterAutospacing="0" w:line="276" w:lineRule="auto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а/а.</w:t>
      </w:r>
    </w:p>
    <w:p w:rsidR="004E3373" w:rsidRDefault="004E3373">
      <w:pPr>
        <w:spacing w:before="0" w:beforeAutospacing="0" w:after="0" w:afterAutospacing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4E3373" w:rsidSect="00F55F78">
      <w:headerReference w:type="default" r:id="rId11"/>
      <w:footerReference w:type="default" r:id="rId12"/>
      <w:pgSz w:w="11906" w:h="16838"/>
      <w:pgMar w:top="1267" w:right="1440" w:bottom="1080" w:left="1440" w:header="706" w:footer="5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95E" w:rsidRDefault="00B6595E">
      <w:pPr>
        <w:spacing w:line="240" w:lineRule="auto"/>
      </w:pPr>
      <w:r>
        <w:separator/>
      </w:r>
    </w:p>
  </w:endnote>
  <w:endnote w:type="continuationSeparator" w:id="1">
    <w:p w:rsidR="00B6595E" w:rsidRDefault="00B659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0655430"/>
    </w:sdtPr>
    <w:sdtContent>
      <w:p w:rsidR="00F55F78" w:rsidRDefault="003E45D0">
        <w:pPr>
          <w:pStyle w:val="Footer"/>
          <w:jc w:val="center"/>
        </w:pPr>
        <w:r>
          <w:fldChar w:fldCharType="begin"/>
        </w:r>
        <w:r w:rsidR="0010147F">
          <w:instrText>PAGE   \* MERGEFORMAT</w:instrText>
        </w:r>
        <w:r>
          <w:fldChar w:fldCharType="separate"/>
        </w:r>
        <w:r w:rsidR="007B0DE3">
          <w:rPr>
            <w:noProof/>
          </w:rPr>
          <w:t>1</w:t>
        </w:r>
        <w:r>
          <w:fldChar w:fldCharType="end"/>
        </w:r>
      </w:p>
    </w:sdtContent>
  </w:sdt>
  <w:p w:rsidR="00F55F78" w:rsidRDefault="00F55F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95E" w:rsidRDefault="00B6595E">
      <w:pPr>
        <w:spacing w:before="0" w:after="0"/>
      </w:pPr>
      <w:r>
        <w:separator/>
      </w:r>
    </w:p>
  </w:footnote>
  <w:footnote w:type="continuationSeparator" w:id="1">
    <w:p w:rsidR="00B6595E" w:rsidRDefault="00B6595E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2831"/>
      <w:gridCol w:w="2608"/>
      <w:gridCol w:w="2573"/>
    </w:tblGrid>
    <w:tr w:rsidR="00886703" w:rsidTr="00A177E6">
      <w:trPr>
        <w:trHeight w:val="825"/>
      </w:trPr>
      <w:tc>
        <w:tcPr>
          <w:tcW w:w="581" w:type="pct"/>
          <w:vMerge w:val="restart"/>
        </w:tcPr>
        <w:p w:rsidR="00886703" w:rsidRDefault="00886703" w:rsidP="00A177E6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3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886703" w:rsidRDefault="00886703" w:rsidP="00A177E6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886703" w:rsidTr="00A177E6">
      <w:trPr>
        <w:trHeight w:val="227"/>
      </w:trPr>
      <w:tc>
        <w:tcPr>
          <w:tcW w:w="581" w:type="pct"/>
          <w:vMerge/>
        </w:tcPr>
        <w:p w:rsidR="00886703" w:rsidRDefault="00886703" w:rsidP="00A177E6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886703" w:rsidRDefault="00886703" w:rsidP="00A177E6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886703" w:rsidRDefault="00886703" w:rsidP="00A177E6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886703" w:rsidRDefault="00886703" w:rsidP="00A177E6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3E45D0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3E45D0">
            <w:rPr>
              <w:sz w:val="20"/>
              <w:szCs w:val="20"/>
            </w:rPr>
            <w:fldChar w:fldCharType="separate"/>
          </w:r>
          <w:r w:rsidR="007B0DE3">
            <w:rPr>
              <w:noProof/>
              <w:sz w:val="20"/>
              <w:szCs w:val="20"/>
            </w:rPr>
            <w:t>1</w:t>
          </w:r>
          <w:r w:rsidR="003E45D0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5</w:t>
          </w:r>
        </w:p>
      </w:tc>
    </w:tr>
  </w:tbl>
  <w:p w:rsidR="00886703" w:rsidRDefault="008867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D535E"/>
    <w:multiLevelType w:val="multilevel"/>
    <w:tmpl w:val="47BD53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63A50"/>
    <w:multiLevelType w:val="multilevel"/>
    <w:tmpl w:val="7F163A50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626A"/>
    <w:rsid w:val="000009B3"/>
    <w:rsid w:val="00004478"/>
    <w:rsid w:val="00011133"/>
    <w:rsid w:val="000126B9"/>
    <w:rsid w:val="00024E52"/>
    <w:rsid w:val="00034FF4"/>
    <w:rsid w:val="00036BBC"/>
    <w:rsid w:val="0003711A"/>
    <w:rsid w:val="00046AE3"/>
    <w:rsid w:val="00053510"/>
    <w:rsid w:val="00056A8F"/>
    <w:rsid w:val="000653F3"/>
    <w:rsid w:val="000671BC"/>
    <w:rsid w:val="000744B0"/>
    <w:rsid w:val="000844AF"/>
    <w:rsid w:val="000A07F8"/>
    <w:rsid w:val="000B50CC"/>
    <w:rsid w:val="000D3C0B"/>
    <w:rsid w:val="000E0201"/>
    <w:rsid w:val="000E0B32"/>
    <w:rsid w:val="000E5F39"/>
    <w:rsid w:val="000F3D24"/>
    <w:rsid w:val="000F62B8"/>
    <w:rsid w:val="0010147F"/>
    <w:rsid w:val="00111E3F"/>
    <w:rsid w:val="001135C0"/>
    <w:rsid w:val="001246B0"/>
    <w:rsid w:val="00126AFB"/>
    <w:rsid w:val="00140C34"/>
    <w:rsid w:val="00151E1A"/>
    <w:rsid w:val="001737D1"/>
    <w:rsid w:val="00174B25"/>
    <w:rsid w:val="00175EB2"/>
    <w:rsid w:val="00191A40"/>
    <w:rsid w:val="001B2532"/>
    <w:rsid w:val="001C0F24"/>
    <w:rsid w:val="001C68CD"/>
    <w:rsid w:val="001E0516"/>
    <w:rsid w:val="001E322F"/>
    <w:rsid w:val="001E7E84"/>
    <w:rsid w:val="002041F3"/>
    <w:rsid w:val="0022419D"/>
    <w:rsid w:val="00224A56"/>
    <w:rsid w:val="002250E4"/>
    <w:rsid w:val="00255119"/>
    <w:rsid w:val="0025750E"/>
    <w:rsid w:val="0027171F"/>
    <w:rsid w:val="00271F85"/>
    <w:rsid w:val="00277D96"/>
    <w:rsid w:val="00281A80"/>
    <w:rsid w:val="0028236A"/>
    <w:rsid w:val="00297E16"/>
    <w:rsid w:val="002A7805"/>
    <w:rsid w:val="002C1388"/>
    <w:rsid w:val="002C75FC"/>
    <w:rsid w:val="002D2A58"/>
    <w:rsid w:val="002E6E4C"/>
    <w:rsid w:val="002F17DD"/>
    <w:rsid w:val="002F3C4E"/>
    <w:rsid w:val="00307CD7"/>
    <w:rsid w:val="003131C1"/>
    <w:rsid w:val="00320F5C"/>
    <w:rsid w:val="0033305A"/>
    <w:rsid w:val="00345514"/>
    <w:rsid w:val="00345C88"/>
    <w:rsid w:val="00345FF9"/>
    <w:rsid w:val="0034749A"/>
    <w:rsid w:val="003611D4"/>
    <w:rsid w:val="003635C7"/>
    <w:rsid w:val="003C5C2F"/>
    <w:rsid w:val="003E0BE0"/>
    <w:rsid w:val="003E45D0"/>
    <w:rsid w:val="003F0BE3"/>
    <w:rsid w:val="00402EF3"/>
    <w:rsid w:val="00412E34"/>
    <w:rsid w:val="0041479E"/>
    <w:rsid w:val="00416C7D"/>
    <w:rsid w:val="004339A5"/>
    <w:rsid w:val="00453703"/>
    <w:rsid w:val="00474269"/>
    <w:rsid w:val="00482190"/>
    <w:rsid w:val="004917C9"/>
    <w:rsid w:val="00496601"/>
    <w:rsid w:val="004A2282"/>
    <w:rsid w:val="004B0E5B"/>
    <w:rsid w:val="004B4581"/>
    <w:rsid w:val="004C261A"/>
    <w:rsid w:val="004C7A9A"/>
    <w:rsid w:val="004D3590"/>
    <w:rsid w:val="004E3373"/>
    <w:rsid w:val="004F0721"/>
    <w:rsid w:val="004F7301"/>
    <w:rsid w:val="00511E4F"/>
    <w:rsid w:val="00513B9F"/>
    <w:rsid w:val="00550E73"/>
    <w:rsid w:val="00571CF1"/>
    <w:rsid w:val="00571EA9"/>
    <w:rsid w:val="005755CC"/>
    <w:rsid w:val="00577052"/>
    <w:rsid w:val="0058099A"/>
    <w:rsid w:val="00581106"/>
    <w:rsid w:val="00590075"/>
    <w:rsid w:val="0059112D"/>
    <w:rsid w:val="0059181A"/>
    <w:rsid w:val="005918DD"/>
    <w:rsid w:val="005A2B49"/>
    <w:rsid w:val="005B508F"/>
    <w:rsid w:val="005D516B"/>
    <w:rsid w:val="005E5F0B"/>
    <w:rsid w:val="005F2E9D"/>
    <w:rsid w:val="005F42C7"/>
    <w:rsid w:val="006015BB"/>
    <w:rsid w:val="0060312C"/>
    <w:rsid w:val="00605E6E"/>
    <w:rsid w:val="00607022"/>
    <w:rsid w:val="00610E61"/>
    <w:rsid w:val="006239A4"/>
    <w:rsid w:val="00633E23"/>
    <w:rsid w:val="006360FE"/>
    <w:rsid w:val="00643C28"/>
    <w:rsid w:val="00655B3F"/>
    <w:rsid w:val="00662294"/>
    <w:rsid w:val="00667439"/>
    <w:rsid w:val="00667821"/>
    <w:rsid w:val="006847DA"/>
    <w:rsid w:val="00686888"/>
    <w:rsid w:val="006A3A06"/>
    <w:rsid w:val="006B1C2F"/>
    <w:rsid w:val="006C621D"/>
    <w:rsid w:val="006C7464"/>
    <w:rsid w:val="006D1DD9"/>
    <w:rsid w:val="006D1E8F"/>
    <w:rsid w:val="006D4437"/>
    <w:rsid w:val="006F09BE"/>
    <w:rsid w:val="006F0EB0"/>
    <w:rsid w:val="00700E5C"/>
    <w:rsid w:val="00704DBC"/>
    <w:rsid w:val="007220CE"/>
    <w:rsid w:val="00725334"/>
    <w:rsid w:val="00725F49"/>
    <w:rsid w:val="007269AF"/>
    <w:rsid w:val="00727FC7"/>
    <w:rsid w:val="00740EE4"/>
    <w:rsid w:val="007435A0"/>
    <w:rsid w:val="00750614"/>
    <w:rsid w:val="007566DB"/>
    <w:rsid w:val="00764CA4"/>
    <w:rsid w:val="0076587F"/>
    <w:rsid w:val="007A727A"/>
    <w:rsid w:val="007B0DE3"/>
    <w:rsid w:val="007B701C"/>
    <w:rsid w:val="007C1F51"/>
    <w:rsid w:val="007C2331"/>
    <w:rsid w:val="007C7131"/>
    <w:rsid w:val="007E0ACF"/>
    <w:rsid w:val="007E4B33"/>
    <w:rsid w:val="007F21AB"/>
    <w:rsid w:val="007F29F2"/>
    <w:rsid w:val="007F5522"/>
    <w:rsid w:val="0080633B"/>
    <w:rsid w:val="0081020C"/>
    <w:rsid w:val="00810CA1"/>
    <w:rsid w:val="00816470"/>
    <w:rsid w:val="00820091"/>
    <w:rsid w:val="00821723"/>
    <w:rsid w:val="00840059"/>
    <w:rsid w:val="00846BE7"/>
    <w:rsid w:val="00886703"/>
    <w:rsid w:val="008A6E67"/>
    <w:rsid w:val="008D4626"/>
    <w:rsid w:val="00902968"/>
    <w:rsid w:val="009075EF"/>
    <w:rsid w:val="009122C7"/>
    <w:rsid w:val="00924BF9"/>
    <w:rsid w:val="0092545E"/>
    <w:rsid w:val="00945657"/>
    <w:rsid w:val="009600C9"/>
    <w:rsid w:val="00965070"/>
    <w:rsid w:val="0096595A"/>
    <w:rsid w:val="0097164B"/>
    <w:rsid w:val="009722E6"/>
    <w:rsid w:val="00974FFD"/>
    <w:rsid w:val="00976938"/>
    <w:rsid w:val="0098079E"/>
    <w:rsid w:val="00981393"/>
    <w:rsid w:val="009841F6"/>
    <w:rsid w:val="00984C0B"/>
    <w:rsid w:val="00985AA4"/>
    <w:rsid w:val="00986D14"/>
    <w:rsid w:val="009876BC"/>
    <w:rsid w:val="009A12EF"/>
    <w:rsid w:val="009A29E1"/>
    <w:rsid w:val="009A2B31"/>
    <w:rsid w:val="009A32E0"/>
    <w:rsid w:val="009B2CAB"/>
    <w:rsid w:val="009D0025"/>
    <w:rsid w:val="009F6E8D"/>
    <w:rsid w:val="00A01576"/>
    <w:rsid w:val="00A12787"/>
    <w:rsid w:val="00A171D4"/>
    <w:rsid w:val="00A220B9"/>
    <w:rsid w:val="00A2682B"/>
    <w:rsid w:val="00A4445E"/>
    <w:rsid w:val="00A46EBA"/>
    <w:rsid w:val="00A56918"/>
    <w:rsid w:val="00A57AB3"/>
    <w:rsid w:val="00A770CA"/>
    <w:rsid w:val="00A82BB6"/>
    <w:rsid w:val="00A876D4"/>
    <w:rsid w:val="00AA43E3"/>
    <w:rsid w:val="00AA626A"/>
    <w:rsid w:val="00AA6EB4"/>
    <w:rsid w:val="00AC3CD7"/>
    <w:rsid w:val="00AC6D3A"/>
    <w:rsid w:val="00AD7CE0"/>
    <w:rsid w:val="00AF039F"/>
    <w:rsid w:val="00AF316A"/>
    <w:rsid w:val="00B12972"/>
    <w:rsid w:val="00B13539"/>
    <w:rsid w:val="00B21438"/>
    <w:rsid w:val="00B22F28"/>
    <w:rsid w:val="00B268B7"/>
    <w:rsid w:val="00B35E24"/>
    <w:rsid w:val="00B41178"/>
    <w:rsid w:val="00B44078"/>
    <w:rsid w:val="00B64D35"/>
    <w:rsid w:val="00B6595E"/>
    <w:rsid w:val="00B67732"/>
    <w:rsid w:val="00B67CB6"/>
    <w:rsid w:val="00B7158B"/>
    <w:rsid w:val="00B75668"/>
    <w:rsid w:val="00BA1EED"/>
    <w:rsid w:val="00BA64E3"/>
    <w:rsid w:val="00BB7005"/>
    <w:rsid w:val="00BC17DE"/>
    <w:rsid w:val="00BC5D1A"/>
    <w:rsid w:val="00BE2F36"/>
    <w:rsid w:val="00C0295E"/>
    <w:rsid w:val="00C118A4"/>
    <w:rsid w:val="00C11CDD"/>
    <w:rsid w:val="00C3522E"/>
    <w:rsid w:val="00C43186"/>
    <w:rsid w:val="00C43E9D"/>
    <w:rsid w:val="00C54ADD"/>
    <w:rsid w:val="00C67BE5"/>
    <w:rsid w:val="00C71E45"/>
    <w:rsid w:val="00CA7E4C"/>
    <w:rsid w:val="00CB2CA7"/>
    <w:rsid w:val="00CC0900"/>
    <w:rsid w:val="00CD1498"/>
    <w:rsid w:val="00CD2A7F"/>
    <w:rsid w:val="00CE4EC6"/>
    <w:rsid w:val="00CF1818"/>
    <w:rsid w:val="00D049A7"/>
    <w:rsid w:val="00D10B02"/>
    <w:rsid w:val="00D117A3"/>
    <w:rsid w:val="00D13769"/>
    <w:rsid w:val="00D15E2D"/>
    <w:rsid w:val="00D21EAB"/>
    <w:rsid w:val="00D25508"/>
    <w:rsid w:val="00D373E7"/>
    <w:rsid w:val="00D40520"/>
    <w:rsid w:val="00D54FFC"/>
    <w:rsid w:val="00D57927"/>
    <w:rsid w:val="00D57FC8"/>
    <w:rsid w:val="00D66576"/>
    <w:rsid w:val="00D74F28"/>
    <w:rsid w:val="00D868A3"/>
    <w:rsid w:val="00D87B0F"/>
    <w:rsid w:val="00D90CFC"/>
    <w:rsid w:val="00DA2719"/>
    <w:rsid w:val="00DA68E6"/>
    <w:rsid w:val="00DB7393"/>
    <w:rsid w:val="00DC6A4A"/>
    <w:rsid w:val="00DE50B7"/>
    <w:rsid w:val="00DE7315"/>
    <w:rsid w:val="00E02451"/>
    <w:rsid w:val="00E10FAA"/>
    <w:rsid w:val="00E346F9"/>
    <w:rsid w:val="00E42666"/>
    <w:rsid w:val="00E4607A"/>
    <w:rsid w:val="00E478B5"/>
    <w:rsid w:val="00E5314B"/>
    <w:rsid w:val="00E536CB"/>
    <w:rsid w:val="00E95E9C"/>
    <w:rsid w:val="00EA60BF"/>
    <w:rsid w:val="00EA7C92"/>
    <w:rsid w:val="00EB2F92"/>
    <w:rsid w:val="00EC3CD1"/>
    <w:rsid w:val="00EC64B6"/>
    <w:rsid w:val="00ED1D59"/>
    <w:rsid w:val="00ED4BE6"/>
    <w:rsid w:val="00EE258E"/>
    <w:rsid w:val="00EE6DF0"/>
    <w:rsid w:val="00EF192B"/>
    <w:rsid w:val="00F31831"/>
    <w:rsid w:val="00F51962"/>
    <w:rsid w:val="00F55F78"/>
    <w:rsid w:val="00F73359"/>
    <w:rsid w:val="00FB2034"/>
    <w:rsid w:val="00FB6266"/>
    <w:rsid w:val="00FC1A1C"/>
    <w:rsid w:val="00FF7A24"/>
    <w:rsid w:val="0E922F2F"/>
    <w:rsid w:val="10D512D2"/>
    <w:rsid w:val="1C3715D7"/>
    <w:rsid w:val="50D57711"/>
    <w:rsid w:val="68D10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annotation text" w:semiHidden="0" w:qFormat="1"/>
    <w:lsdException w:name="header" w:semiHidden="0" w:uiPriority="0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F78"/>
    <w:pPr>
      <w:spacing w:before="100" w:beforeAutospacing="1" w:after="100" w:afterAutospacing="1" w:line="360" w:lineRule="auto"/>
      <w:jc w:val="both"/>
    </w:pPr>
    <w:rPr>
      <w:rFonts w:eastAsiaTheme="minorEastAsia"/>
      <w:sz w:val="21"/>
      <w:szCs w:val="21"/>
    </w:rPr>
  </w:style>
  <w:style w:type="paragraph" w:styleId="Heading2">
    <w:name w:val="heading 2"/>
    <w:basedOn w:val="Normal"/>
    <w:link w:val="Heading2Char"/>
    <w:uiPriority w:val="9"/>
    <w:qFormat/>
    <w:rsid w:val="00F55F78"/>
    <w:pPr>
      <w:spacing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55F7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55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F55F78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F55F78"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rsid w:val="00F55F78"/>
    <w:pPr>
      <w:tabs>
        <w:tab w:val="center" w:pos="4513"/>
        <w:tab w:val="right" w:pos="9026"/>
      </w:tabs>
      <w:spacing w:before="0"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qFormat/>
    <w:rsid w:val="00F55F7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F55F78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qFormat/>
    <w:rsid w:val="00F55F78"/>
    <w:pPr>
      <w:tabs>
        <w:tab w:val="center" w:pos="4513"/>
        <w:tab w:val="right" w:pos="9026"/>
      </w:tabs>
      <w:spacing w:before="0"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sid w:val="00F55F7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qFormat/>
    <w:rsid w:val="00F55F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55F78"/>
    <w:pPr>
      <w:ind w:left="720"/>
      <w:contextualSpacing/>
    </w:pPr>
  </w:style>
  <w:style w:type="character" w:customStyle="1" w:styleId="IntenseEmphasis1">
    <w:name w:val="Intense Emphasis1"/>
    <w:basedOn w:val="DefaultParagraphFont"/>
    <w:uiPriority w:val="21"/>
    <w:qFormat/>
    <w:rsid w:val="00F55F78"/>
    <w:rPr>
      <w:b/>
      <w:i/>
      <w:sz w:val="24"/>
      <w:szCs w:val="24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F55F78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F55F78"/>
    <w:rPr>
      <w:rFonts w:eastAsiaTheme="minorEastAsia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55F78"/>
    <w:rPr>
      <w:rFonts w:eastAsiaTheme="minorEastAsia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F55F7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F55F78"/>
    <w:pPr>
      <w:spacing w:beforeAutospacing="1" w:afterAutospacing="1"/>
      <w:jc w:val="both"/>
    </w:pPr>
    <w:rPr>
      <w:rFonts w:eastAsiaTheme="minorEastAsia"/>
      <w:sz w:val="21"/>
      <w:szCs w:val="21"/>
    </w:rPr>
  </w:style>
  <w:style w:type="paragraph" w:customStyle="1" w:styleId="Revision1">
    <w:name w:val="Revision1"/>
    <w:hidden/>
    <w:uiPriority w:val="99"/>
    <w:semiHidden/>
    <w:qFormat/>
    <w:rsid w:val="00F55F78"/>
    <w:rPr>
      <w:rFonts w:eastAsiaTheme="minorEastAsia"/>
      <w:sz w:val="21"/>
      <w:szCs w:val="21"/>
    </w:rPr>
  </w:style>
  <w:style w:type="character" w:customStyle="1" w:styleId="HeaderChar">
    <w:name w:val="Header Char"/>
    <w:basedOn w:val="DefaultParagraphFont"/>
    <w:link w:val="Header"/>
    <w:qFormat/>
    <w:rsid w:val="00F55F78"/>
    <w:rPr>
      <w:rFonts w:eastAsiaTheme="minorEastAsia"/>
      <w:sz w:val="21"/>
      <w:szCs w:val="21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55F78"/>
    <w:rPr>
      <w:rFonts w:eastAsiaTheme="minorEastAsia"/>
      <w:sz w:val="21"/>
      <w:szCs w:val="2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F55F78"/>
    <w:rPr>
      <w:rFonts w:ascii="Segoe UI" w:eastAsiaTheme="minorEastAsia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F55F78"/>
    <w:rPr>
      <w:color w:val="605E5C"/>
      <w:shd w:val="clear" w:color="auto" w:fill="E1DFDD"/>
    </w:rPr>
  </w:style>
  <w:style w:type="paragraph" w:customStyle="1" w:styleId="clan">
    <w:name w:val="clan"/>
    <w:basedOn w:val="Normal"/>
    <w:qFormat/>
    <w:rsid w:val="00F55F7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qFormat/>
    <w:rsid w:val="00F55F7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3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8020D2B0C630478A3BDD49D686A818" ma:contentTypeVersion="15" ma:contentTypeDescription="Create a new document." ma:contentTypeScope="" ma:versionID="ad739a5710c4556d10a68d07dee99909">
  <xsd:schema xmlns:xsd="http://www.w3.org/2001/XMLSchema" xmlns:xs="http://www.w3.org/2001/XMLSchema" xmlns:p="http://schemas.microsoft.com/office/2006/metadata/properties" xmlns:ns2="bb8b9eca-b553-4fe9-a3d7-d1838b09508d" xmlns:ns3="3334fe79-8e4a-4749-9c2d-138e96082282" targetNamespace="http://schemas.microsoft.com/office/2006/metadata/properties" ma:root="true" ma:fieldsID="9ba1eb83c9918b9c37d957056abe257d" ns2:_="" ns3:_="">
    <xsd:import namespace="bb8b9eca-b553-4fe9-a3d7-d1838b09508d"/>
    <xsd:import namespace="3334fe79-8e4a-4749-9c2d-138e960822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b9eca-b553-4fe9-a3d7-d1838b0950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4fe79-8e4a-4749-9c2d-138e9608228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e1a9b75-0190-4a38-9482-7d72c548bf41}" ma:internalName="TaxCatchAll" ma:showField="CatchAllData" ma:web="3334fe79-8e4a-4749-9c2d-138e960822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8b9eca-b553-4fe9-a3d7-d1838b09508d">
      <Terms xmlns="http://schemas.microsoft.com/office/infopath/2007/PartnerControls"/>
    </lcf76f155ced4ddcb4097134ff3c332f>
    <TaxCatchAll xmlns="3334fe79-8e4a-4749-9c2d-138e96082282" xsi:nil="true"/>
  </documentManagement>
</p:properties>
</file>

<file path=customXml/itemProps1.xml><?xml version="1.0" encoding="utf-8"?>
<ds:datastoreItem xmlns:ds="http://schemas.openxmlformats.org/officeDocument/2006/customXml" ds:itemID="{E093D4D7-9083-4FA0-9304-5A7266E27E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1E1060-C130-4675-B881-FA039CC4B2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8b9eca-b553-4fe9-a3d7-d1838b09508d"/>
    <ds:schemaRef ds:uri="3334fe79-8e4a-4749-9c2d-138e960822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B7D193-2529-4E5D-8959-76A84008CF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99F5AD-CD14-4BF2-893F-143CC698108D}">
  <ds:schemaRefs>
    <ds:schemaRef ds:uri="http://schemas.microsoft.com/office/2006/metadata/properties"/>
    <ds:schemaRef ds:uri="http://schemas.microsoft.com/office/infopath/2007/PartnerControls"/>
    <ds:schemaRef ds:uri="bb8b9eca-b553-4fe9-a3d7-d1838b09508d"/>
    <ds:schemaRef ds:uri="3334fe79-8e4a-4749-9c2d-138e960822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1471</Words>
  <Characters>8388</Characters>
  <Application>Microsoft Office Word</Application>
  <DocSecurity>0</DocSecurity>
  <Lines>69</Lines>
  <Paragraphs>19</Paragraphs>
  <ScaleCrop>false</ScaleCrop>
  <Company/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</cp:lastModifiedBy>
  <cp:revision>42</cp:revision>
  <cp:lastPrinted>2024-07-08T07:01:00Z</cp:lastPrinted>
  <dcterms:created xsi:type="dcterms:W3CDTF">2024-10-13T14:20:00Z</dcterms:created>
  <dcterms:modified xsi:type="dcterms:W3CDTF">2024-11-05T10:27:00Z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0x010100418020D2B0C630478A3BDD49D686A818</vt:lpwstr>
  </property>
  <property fmtid="{D5CDD505-2E9C-101B-9397-08002B2CF9AE}" pid="3" name="GrammarlyDocumentId">
    <vt:lpwstr>3172c279823743ddf903ffbedea39256268a15f0840f7f62b13677ce6caccf16</vt:lpwstr>
  </property>
  <property fmtid="{D5CDD505-2E9C-101B-9397-08002B2CF9AE}" pid="4" name="MediaServiceImageTags">
    <vt:lpwstr/>
  </property>
  <property fmtid="{D5CDD505-2E9C-101B-9397-08002B2CF9AE}" pid="5" name="KSOProductBuildVer">
    <vt:lpwstr>1033-12.2.0.17153</vt:lpwstr>
  </property>
  <property fmtid="{D5CDD505-2E9C-101B-9397-08002B2CF9AE}" pid="6" name="ICV">
    <vt:lpwstr>BBA7A009C52F4B94938645F6361755CD_12</vt:lpwstr>
  </property>
</Properties>
</file>